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662" w:rsidRDefault="00883662" w:rsidP="000B012F">
      <w:pPr>
        <w:spacing w:after="0" w:line="240" w:lineRule="auto"/>
        <w:jc w:val="center"/>
        <w:rPr>
          <w:rFonts w:eastAsia="Times New Roman" w:cstheme="minorHAnsi"/>
          <w:color w:val="000000"/>
          <w:sz w:val="24"/>
          <w:szCs w:val="24"/>
        </w:rPr>
      </w:pPr>
    </w:p>
    <w:p w:rsidR="00883662" w:rsidRDefault="00C654F8" w:rsidP="000B012F">
      <w:pPr>
        <w:spacing w:after="0" w:line="240" w:lineRule="auto"/>
        <w:jc w:val="center"/>
        <w:rPr>
          <w:rFonts w:eastAsia="Times New Roman" w:cstheme="minorHAnsi"/>
          <w:color w:val="000000"/>
          <w:sz w:val="24"/>
          <w:szCs w:val="24"/>
        </w:rPr>
      </w:pPr>
      <w:r>
        <w:rPr>
          <w:rFonts w:eastAsia="Times New Roman" w:cstheme="minorHAnsi"/>
          <w:noProof/>
          <w:color w:val="000000"/>
          <w:sz w:val="24"/>
          <w:szCs w:val="24"/>
        </w:rPr>
        <w:drawing>
          <wp:inline distT="0" distB="0" distL="0" distR="0">
            <wp:extent cx="1085850" cy="906964"/>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N Shor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0847" cy="919491"/>
                    </a:xfrm>
                    <a:prstGeom prst="rect">
                      <a:avLst/>
                    </a:prstGeom>
                  </pic:spPr>
                </pic:pic>
              </a:graphicData>
            </a:graphic>
          </wp:inline>
        </w:drawing>
      </w:r>
    </w:p>
    <w:p w:rsidR="00C654F8" w:rsidRDefault="00C654F8" w:rsidP="000B012F">
      <w:pPr>
        <w:spacing w:after="0" w:line="240" w:lineRule="auto"/>
        <w:jc w:val="center"/>
        <w:rPr>
          <w:rFonts w:eastAsia="Times New Roman" w:cstheme="minorHAnsi"/>
          <w:b/>
          <w:color w:val="000000"/>
          <w:sz w:val="24"/>
          <w:szCs w:val="24"/>
        </w:rPr>
      </w:pPr>
    </w:p>
    <w:p w:rsidR="000B012F" w:rsidRPr="00883662" w:rsidRDefault="00D742EC" w:rsidP="000B012F">
      <w:pPr>
        <w:spacing w:after="0" w:line="240" w:lineRule="auto"/>
        <w:jc w:val="center"/>
        <w:rPr>
          <w:rFonts w:eastAsia="Times New Roman" w:cstheme="minorHAnsi"/>
          <w:b/>
          <w:sz w:val="24"/>
          <w:szCs w:val="24"/>
        </w:rPr>
      </w:pPr>
      <w:r>
        <w:rPr>
          <w:rFonts w:eastAsia="Times New Roman" w:cstheme="minorHAnsi"/>
          <w:b/>
          <w:color w:val="000000"/>
          <w:sz w:val="24"/>
          <w:szCs w:val="24"/>
        </w:rPr>
        <w:t>Sample</w:t>
      </w:r>
      <w:r w:rsidR="00C654F8">
        <w:rPr>
          <w:rFonts w:eastAsia="Times New Roman" w:cstheme="minorHAnsi"/>
          <w:b/>
          <w:color w:val="000000"/>
          <w:sz w:val="24"/>
          <w:szCs w:val="24"/>
        </w:rPr>
        <w:t xml:space="preserve"> </w:t>
      </w:r>
      <w:r w:rsidR="000B012F" w:rsidRPr="00883662">
        <w:rPr>
          <w:rFonts w:eastAsia="Times New Roman" w:cstheme="minorHAnsi"/>
          <w:b/>
          <w:color w:val="000000"/>
          <w:sz w:val="24"/>
          <w:szCs w:val="24"/>
        </w:rPr>
        <w:t>T</w:t>
      </w:r>
      <w:r w:rsidR="00E01D37" w:rsidRPr="00883662">
        <w:rPr>
          <w:rFonts w:eastAsia="Times New Roman" w:cstheme="minorHAnsi"/>
          <w:b/>
          <w:color w:val="000000"/>
          <w:sz w:val="24"/>
          <w:szCs w:val="24"/>
        </w:rPr>
        <w:t>estimony</w:t>
      </w:r>
      <w:r w:rsidR="00C654F8">
        <w:rPr>
          <w:rFonts w:eastAsia="Times New Roman" w:cstheme="minorHAnsi"/>
          <w:b/>
          <w:color w:val="000000"/>
          <w:sz w:val="24"/>
          <w:szCs w:val="24"/>
        </w:rPr>
        <w:t>: In Support of Gender-Affirming Legislation</w:t>
      </w:r>
    </w:p>
    <w:p w:rsidR="000B012F" w:rsidRPr="000B012F" w:rsidRDefault="000B012F" w:rsidP="000B012F">
      <w:pPr>
        <w:spacing w:after="0" w:line="240" w:lineRule="auto"/>
        <w:rPr>
          <w:rFonts w:eastAsia="Times New Roman" w:cstheme="minorHAnsi"/>
          <w:sz w:val="24"/>
          <w:szCs w:val="24"/>
        </w:rPr>
      </w:pPr>
    </w:p>
    <w:p w:rsidR="000B012F" w:rsidRPr="000B012F" w:rsidRDefault="000B012F" w:rsidP="000B012F">
      <w:pPr>
        <w:spacing w:after="0" w:line="240" w:lineRule="auto"/>
        <w:rPr>
          <w:rFonts w:eastAsia="Times New Roman" w:cstheme="minorHAnsi"/>
          <w:sz w:val="24"/>
          <w:szCs w:val="24"/>
        </w:rPr>
      </w:pPr>
      <w:r w:rsidRPr="000B012F">
        <w:rPr>
          <w:rFonts w:eastAsia="Times New Roman" w:cstheme="minorHAnsi"/>
          <w:color w:val="000000"/>
          <w:sz w:val="24"/>
          <w:szCs w:val="24"/>
        </w:rPr>
        <w:t>Dear Chairperson, Vice Chairperson</w:t>
      </w:r>
      <w:r w:rsidR="006508D0">
        <w:rPr>
          <w:rFonts w:eastAsia="Times New Roman" w:cstheme="minorHAnsi"/>
          <w:color w:val="000000"/>
          <w:sz w:val="24"/>
          <w:szCs w:val="24"/>
        </w:rPr>
        <w:t>, and distinguished Members:</w:t>
      </w:r>
      <w:r w:rsidR="001C363A">
        <w:rPr>
          <w:rFonts w:eastAsia="Times New Roman" w:cstheme="minorHAnsi"/>
          <w:color w:val="000000"/>
          <w:sz w:val="24"/>
          <w:szCs w:val="24"/>
        </w:rPr>
        <w:t xml:space="preserve"> </w:t>
      </w:r>
      <w:r w:rsidR="006508D0">
        <w:rPr>
          <w:rFonts w:eastAsia="Times New Roman" w:cstheme="minorHAnsi"/>
          <w:color w:val="000000"/>
          <w:sz w:val="24"/>
          <w:szCs w:val="24"/>
        </w:rPr>
        <w:t xml:space="preserve"> </w:t>
      </w:r>
      <w:r w:rsidR="001C363A">
        <w:rPr>
          <w:rFonts w:eastAsia="Times New Roman" w:cstheme="minorHAnsi"/>
          <w:color w:val="000000"/>
          <w:sz w:val="24"/>
          <w:szCs w:val="24"/>
        </w:rPr>
        <w:t xml:space="preserve">my name is </w:t>
      </w:r>
      <w:sdt>
        <w:sdtPr>
          <w:rPr>
            <w:rFonts w:eastAsia="Times New Roman" w:cstheme="minorHAnsi"/>
            <w:color w:val="000000"/>
            <w:sz w:val="24"/>
            <w:szCs w:val="24"/>
          </w:rPr>
          <w:id w:val="187654556"/>
          <w:placeholder>
            <w:docPart w:val="DefaultPlaceholder_-1854013440"/>
          </w:placeholder>
        </w:sdtPr>
        <w:sdtEndPr>
          <w:rPr>
            <w:i/>
            <w:iCs/>
            <w:color w:val="FF0000"/>
          </w:rPr>
        </w:sdtEndPr>
        <w:sdtContent>
          <w:bookmarkStart w:id="0" w:name="_GoBack"/>
          <w:r w:rsidR="001C363A">
            <w:rPr>
              <w:rFonts w:eastAsia="Times New Roman" w:cstheme="minorHAnsi"/>
              <w:i/>
              <w:iCs/>
              <w:color w:val="FF0000"/>
              <w:sz w:val="24"/>
              <w:szCs w:val="24"/>
            </w:rPr>
            <w:t xml:space="preserve">[your </w:t>
          </w:r>
          <w:r w:rsidRPr="000B012F">
            <w:rPr>
              <w:rFonts w:eastAsia="Times New Roman" w:cstheme="minorHAnsi"/>
              <w:i/>
              <w:iCs/>
              <w:color w:val="FF0000"/>
              <w:sz w:val="24"/>
              <w:szCs w:val="24"/>
            </w:rPr>
            <w:t>name</w:t>
          </w:r>
          <w:r w:rsidR="001C363A">
            <w:rPr>
              <w:rFonts w:eastAsia="Times New Roman" w:cstheme="minorHAnsi"/>
              <w:i/>
              <w:iCs/>
              <w:color w:val="FF0000"/>
              <w:sz w:val="24"/>
              <w:szCs w:val="24"/>
            </w:rPr>
            <w:t>, organization,</w:t>
          </w:r>
          <w:r w:rsidRPr="000B012F">
            <w:rPr>
              <w:rFonts w:eastAsia="Times New Roman" w:cstheme="minorHAnsi"/>
              <w:i/>
              <w:iCs/>
              <w:color w:val="FF0000"/>
              <w:sz w:val="24"/>
              <w:szCs w:val="24"/>
            </w:rPr>
            <w:t xml:space="preserve"> and credentials</w:t>
          </w:r>
          <w:r w:rsidR="001C363A">
            <w:rPr>
              <w:rFonts w:eastAsia="Times New Roman" w:cstheme="minorHAnsi"/>
              <w:i/>
              <w:iCs/>
              <w:color w:val="FF0000"/>
              <w:sz w:val="24"/>
              <w:szCs w:val="24"/>
            </w:rPr>
            <w:t>]</w:t>
          </w:r>
          <w:bookmarkEnd w:id="0"/>
        </w:sdtContent>
      </w:sdt>
      <w:r w:rsidR="005A6820" w:rsidRPr="005A6820">
        <w:rPr>
          <w:rFonts w:eastAsia="Times New Roman" w:cstheme="minorHAnsi"/>
          <w:i/>
          <w:iCs/>
          <w:sz w:val="24"/>
          <w:szCs w:val="24"/>
        </w:rPr>
        <w:t>.</w:t>
      </w:r>
    </w:p>
    <w:p w:rsidR="000B012F" w:rsidRPr="000B012F" w:rsidRDefault="000B012F" w:rsidP="000B012F">
      <w:pPr>
        <w:spacing w:after="0" w:line="240" w:lineRule="auto"/>
        <w:rPr>
          <w:rFonts w:eastAsia="Times New Roman" w:cstheme="minorHAnsi"/>
          <w:sz w:val="24"/>
          <w:szCs w:val="24"/>
        </w:rPr>
      </w:pPr>
      <w:r w:rsidRPr="000B012F">
        <w:rPr>
          <w:rFonts w:eastAsia="Times New Roman" w:cstheme="minorHAnsi"/>
          <w:color w:val="000000"/>
          <w:sz w:val="24"/>
          <w:szCs w:val="24"/>
        </w:rPr>
        <w:t> </w:t>
      </w:r>
    </w:p>
    <w:p w:rsidR="000B012F" w:rsidRPr="000B012F" w:rsidRDefault="000B012F" w:rsidP="000B012F">
      <w:pPr>
        <w:spacing w:after="0" w:line="240" w:lineRule="auto"/>
        <w:rPr>
          <w:rFonts w:eastAsia="Times New Roman" w:cstheme="minorHAnsi"/>
          <w:sz w:val="24"/>
          <w:szCs w:val="24"/>
        </w:rPr>
      </w:pPr>
      <w:r w:rsidRPr="000B012F">
        <w:rPr>
          <w:rFonts w:eastAsia="Times New Roman" w:cstheme="minorHAnsi"/>
          <w:color w:val="000000"/>
          <w:sz w:val="24"/>
          <w:szCs w:val="24"/>
        </w:rPr>
        <w:t>On behalf of the</w:t>
      </w:r>
      <w:r w:rsidR="008F6ABC">
        <w:rPr>
          <w:rFonts w:eastAsia="Times New Roman" w:cstheme="minorHAnsi"/>
          <w:color w:val="000000"/>
          <w:sz w:val="24"/>
          <w:szCs w:val="24"/>
        </w:rPr>
        <w:t xml:space="preserve"> Society of Pediatric Nurses</w:t>
      </w:r>
      <w:r w:rsidR="006508D0" w:rsidRPr="006508D0">
        <w:rPr>
          <w:rFonts w:eastAsia="Times New Roman" w:cstheme="minorHAnsi"/>
          <w:i/>
          <w:iCs/>
          <w:sz w:val="24"/>
          <w:szCs w:val="24"/>
        </w:rPr>
        <w:t>,</w:t>
      </w:r>
      <w:r w:rsidRPr="008F6ABC">
        <w:rPr>
          <w:rFonts w:eastAsia="Times New Roman" w:cstheme="minorHAnsi"/>
          <w:iCs/>
          <w:color w:val="FF0000"/>
          <w:sz w:val="24"/>
          <w:szCs w:val="24"/>
        </w:rPr>
        <w:t xml:space="preserve"> </w:t>
      </w:r>
      <w:r w:rsidR="001C363A" w:rsidRPr="008F6ABC">
        <w:rPr>
          <w:rFonts w:eastAsia="Times New Roman" w:cstheme="minorHAnsi"/>
          <w:color w:val="000000"/>
          <w:sz w:val="24"/>
          <w:szCs w:val="24"/>
        </w:rPr>
        <w:t>I</w:t>
      </w:r>
      <w:r w:rsidR="001C363A">
        <w:rPr>
          <w:rFonts w:eastAsia="Times New Roman" w:cstheme="minorHAnsi"/>
          <w:color w:val="000000"/>
          <w:sz w:val="24"/>
          <w:szCs w:val="24"/>
        </w:rPr>
        <w:t xml:space="preserve"> </w:t>
      </w:r>
      <w:r w:rsidRPr="000B012F">
        <w:rPr>
          <w:rFonts w:eastAsia="Times New Roman" w:cstheme="minorHAnsi"/>
          <w:color w:val="000000"/>
          <w:sz w:val="24"/>
          <w:szCs w:val="24"/>
        </w:rPr>
        <w:t>want to thank</w:t>
      </w:r>
      <w:r w:rsidR="001F1A4F">
        <w:rPr>
          <w:rFonts w:eastAsia="Times New Roman" w:cstheme="minorHAnsi"/>
          <w:color w:val="000000"/>
          <w:sz w:val="24"/>
          <w:szCs w:val="24"/>
        </w:rPr>
        <w:t xml:space="preserve"> you for the opportunity to address</w:t>
      </w:r>
      <w:r w:rsidRPr="000B012F">
        <w:rPr>
          <w:rFonts w:eastAsia="Times New Roman" w:cstheme="minorHAnsi"/>
          <w:color w:val="000000"/>
          <w:sz w:val="24"/>
          <w:szCs w:val="24"/>
        </w:rPr>
        <w:t xml:space="preserve"> </w:t>
      </w:r>
      <w:sdt>
        <w:sdtPr>
          <w:rPr>
            <w:rFonts w:eastAsia="Times New Roman" w:cstheme="minorHAnsi"/>
            <w:color w:val="000000"/>
            <w:sz w:val="24"/>
            <w:szCs w:val="24"/>
          </w:rPr>
          <w:id w:val="-313715695"/>
          <w:placeholder>
            <w:docPart w:val="DefaultPlaceholder_-1854013440"/>
          </w:placeholder>
        </w:sdtPr>
        <w:sdtEndPr>
          <w:rPr>
            <w:i/>
            <w:iCs/>
            <w:color w:val="FF0000"/>
          </w:rPr>
        </w:sdtEndPr>
        <w:sdtContent>
          <w:r w:rsidR="001C363A">
            <w:rPr>
              <w:rFonts w:eastAsia="Times New Roman" w:cstheme="minorHAnsi"/>
              <w:i/>
              <w:iCs/>
              <w:color w:val="FF0000"/>
              <w:sz w:val="24"/>
              <w:szCs w:val="24"/>
            </w:rPr>
            <w:t>[i</w:t>
          </w:r>
          <w:r w:rsidRPr="000B012F">
            <w:rPr>
              <w:rFonts w:eastAsia="Times New Roman" w:cstheme="minorHAnsi"/>
              <w:i/>
              <w:iCs/>
              <w:color w:val="FF0000"/>
              <w:sz w:val="24"/>
              <w:szCs w:val="24"/>
            </w:rPr>
            <w:t xml:space="preserve">nsert </w:t>
          </w:r>
          <w:r w:rsidR="00664A2F">
            <w:rPr>
              <w:rFonts w:eastAsia="Times New Roman" w:cstheme="minorHAnsi"/>
              <w:i/>
              <w:iCs/>
              <w:color w:val="FF0000"/>
              <w:sz w:val="24"/>
              <w:szCs w:val="24"/>
            </w:rPr>
            <w:t>the</w:t>
          </w:r>
          <w:r w:rsidR="00664A2F" w:rsidRPr="000B012F">
            <w:rPr>
              <w:rFonts w:eastAsia="Times New Roman" w:cstheme="minorHAnsi"/>
              <w:i/>
              <w:iCs/>
              <w:color w:val="FF0000"/>
              <w:sz w:val="24"/>
              <w:szCs w:val="24"/>
            </w:rPr>
            <w:t xml:space="preserve"> bill number </w:t>
          </w:r>
          <w:r w:rsidR="00664A2F">
            <w:rPr>
              <w:rFonts w:eastAsia="Times New Roman" w:cstheme="minorHAnsi"/>
              <w:i/>
              <w:iCs/>
              <w:color w:val="FF0000"/>
              <w:sz w:val="24"/>
              <w:szCs w:val="24"/>
            </w:rPr>
            <w:t xml:space="preserve">and </w:t>
          </w:r>
          <w:r w:rsidR="001F1A4F">
            <w:rPr>
              <w:rFonts w:eastAsia="Times New Roman" w:cstheme="minorHAnsi"/>
              <w:i/>
              <w:iCs/>
              <w:color w:val="FF0000"/>
              <w:sz w:val="24"/>
              <w:szCs w:val="24"/>
            </w:rPr>
            <w:t>bill title</w:t>
          </w:r>
          <w:r w:rsidR="00383CDA" w:rsidRPr="000B012F">
            <w:rPr>
              <w:rFonts w:eastAsia="Times New Roman" w:cstheme="minorHAnsi"/>
              <w:i/>
              <w:iCs/>
              <w:color w:val="FF0000"/>
              <w:sz w:val="24"/>
              <w:szCs w:val="24"/>
            </w:rPr>
            <w:t>]</w:t>
          </w:r>
        </w:sdtContent>
      </w:sdt>
      <w:r w:rsidR="00D742EC">
        <w:rPr>
          <w:rFonts w:eastAsia="Times New Roman" w:cstheme="minorHAnsi"/>
          <w:color w:val="000000"/>
          <w:sz w:val="24"/>
          <w:szCs w:val="24"/>
        </w:rPr>
        <w:t>.</w:t>
      </w:r>
      <w:r w:rsidRPr="000B012F">
        <w:rPr>
          <w:rFonts w:eastAsia="Times New Roman" w:cstheme="minorHAnsi"/>
          <w:color w:val="000000"/>
          <w:sz w:val="24"/>
          <w:szCs w:val="24"/>
        </w:rPr>
        <w:t xml:space="preserve"> I appreciate the opportunity to testify </w:t>
      </w:r>
      <w:r w:rsidR="006C163D">
        <w:rPr>
          <w:rFonts w:eastAsia="Times New Roman" w:cstheme="minorHAnsi"/>
          <w:color w:val="000000"/>
          <w:sz w:val="24"/>
          <w:szCs w:val="24"/>
        </w:rPr>
        <w:t xml:space="preserve">in support of </w:t>
      </w:r>
      <w:sdt>
        <w:sdtPr>
          <w:rPr>
            <w:rFonts w:eastAsia="Times New Roman" w:cstheme="minorHAnsi"/>
            <w:color w:val="000000"/>
            <w:sz w:val="24"/>
            <w:szCs w:val="24"/>
          </w:rPr>
          <w:id w:val="274612599"/>
          <w:placeholder>
            <w:docPart w:val="DefaultPlaceholder_-1854013440"/>
          </w:placeholder>
        </w:sdtPr>
        <w:sdtEndPr>
          <w:rPr>
            <w:i/>
            <w:iCs/>
            <w:color w:val="FF0000"/>
          </w:rPr>
        </w:sdtEndPr>
        <w:sdtContent>
          <w:r w:rsidR="001C363A">
            <w:rPr>
              <w:rFonts w:eastAsia="Times New Roman" w:cstheme="minorHAnsi"/>
              <w:i/>
              <w:iCs/>
              <w:color w:val="FF0000"/>
              <w:sz w:val="24"/>
              <w:szCs w:val="24"/>
            </w:rPr>
            <w:t>[i</w:t>
          </w:r>
          <w:r w:rsidR="001C363A" w:rsidRPr="000B012F">
            <w:rPr>
              <w:rFonts w:eastAsia="Times New Roman" w:cstheme="minorHAnsi"/>
              <w:i/>
              <w:iCs/>
              <w:color w:val="FF0000"/>
              <w:sz w:val="24"/>
              <w:szCs w:val="24"/>
            </w:rPr>
            <w:t>nsert</w:t>
          </w:r>
          <w:r w:rsidR="001C363A">
            <w:rPr>
              <w:rFonts w:eastAsia="Times New Roman" w:cstheme="minorHAnsi"/>
              <w:i/>
              <w:iCs/>
              <w:color w:val="FF0000"/>
              <w:sz w:val="24"/>
              <w:szCs w:val="24"/>
            </w:rPr>
            <w:t xml:space="preserve"> bill number]</w:t>
          </w:r>
        </w:sdtContent>
      </w:sdt>
      <w:r w:rsidR="001C363A">
        <w:rPr>
          <w:rFonts w:eastAsia="Times New Roman" w:cstheme="minorHAnsi"/>
          <w:color w:val="000000"/>
          <w:sz w:val="24"/>
          <w:szCs w:val="24"/>
        </w:rPr>
        <w:t xml:space="preserve">, which would </w:t>
      </w:r>
      <w:sdt>
        <w:sdtPr>
          <w:rPr>
            <w:rFonts w:eastAsia="Times New Roman" w:cstheme="minorHAnsi"/>
            <w:color w:val="000000"/>
            <w:sz w:val="24"/>
            <w:szCs w:val="24"/>
          </w:rPr>
          <w:id w:val="-952477282"/>
          <w:placeholder>
            <w:docPart w:val="DefaultPlaceholder_-1854013440"/>
          </w:placeholder>
        </w:sdtPr>
        <w:sdtEndPr>
          <w:rPr>
            <w:i/>
            <w:color w:val="FF0000"/>
          </w:rPr>
        </w:sdtEndPr>
        <w:sdtContent>
          <w:r w:rsidR="001F1A4F">
            <w:rPr>
              <w:rFonts w:eastAsia="Times New Roman" w:cstheme="minorHAnsi"/>
              <w:i/>
              <w:iCs/>
              <w:color w:val="FF0000"/>
              <w:sz w:val="24"/>
              <w:szCs w:val="24"/>
            </w:rPr>
            <w:t xml:space="preserve">[protect </w:t>
          </w:r>
          <w:r w:rsidR="001F1A4F" w:rsidRPr="001F1A4F">
            <w:rPr>
              <w:rFonts w:eastAsia="Times New Roman" w:cstheme="minorHAnsi"/>
              <w:i/>
              <w:color w:val="FF0000"/>
              <w:sz w:val="24"/>
              <w:szCs w:val="24"/>
            </w:rPr>
            <w:t>children’s rights to healthcare services]</w:t>
          </w:r>
        </w:sdtContent>
      </w:sdt>
      <w:r w:rsidR="001F1A4F">
        <w:rPr>
          <w:rFonts w:eastAsia="Times New Roman" w:cstheme="minorHAnsi"/>
          <w:color w:val="000000"/>
          <w:sz w:val="24"/>
          <w:szCs w:val="24"/>
        </w:rPr>
        <w:t xml:space="preserve"> </w:t>
      </w:r>
      <w:r w:rsidRPr="000B012F">
        <w:rPr>
          <w:rFonts w:eastAsia="Times New Roman" w:cstheme="minorHAnsi"/>
          <w:color w:val="000000"/>
          <w:sz w:val="24"/>
          <w:szCs w:val="24"/>
        </w:rPr>
        <w:t xml:space="preserve">in </w:t>
      </w:r>
      <w:sdt>
        <w:sdtPr>
          <w:rPr>
            <w:rFonts w:eastAsia="Times New Roman" w:cstheme="minorHAnsi"/>
            <w:color w:val="000000"/>
            <w:sz w:val="24"/>
            <w:szCs w:val="24"/>
          </w:rPr>
          <w:id w:val="1304505159"/>
          <w:placeholder>
            <w:docPart w:val="DefaultPlaceholder_-1854013440"/>
          </w:placeholder>
        </w:sdtPr>
        <w:sdtEndPr>
          <w:rPr>
            <w:i/>
            <w:iCs/>
            <w:color w:val="FF0000"/>
          </w:rPr>
        </w:sdtEndPr>
        <w:sdtContent>
          <w:r w:rsidR="001C363A">
            <w:rPr>
              <w:rFonts w:eastAsia="Times New Roman" w:cstheme="minorHAnsi"/>
              <w:i/>
              <w:iCs/>
              <w:color w:val="FF0000"/>
              <w:sz w:val="24"/>
              <w:szCs w:val="24"/>
            </w:rPr>
            <w:t>[i</w:t>
          </w:r>
          <w:r w:rsidR="001F1A4F">
            <w:rPr>
              <w:rFonts w:eastAsia="Times New Roman" w:cstheme="minorHAnsi"/>
              <w:i/>
              <w:iCs/>
              <w:color w:val="FF0000"/>
              <w:sz w:val="24"/>
              <w:szCs w:val="24"/>
            </w:rPr>
            <w:t>nsert state name</w:t>
          </w:r>
          <w:r w:rsidR="001C363A">
            <w:rPr>
              <w:rFonts w:eastAsia="Times New Roman" w:cstheme="minorHAnsi"/>
              <w:i/>
              <w:iCs/>
              <w:color w:val="FF0000"/>
              <w:sz w:val="24"/>
              <w:szCs w:val="24"/>
            </w:rPr>
            <w:t>]</w:t>
          </w:r>
        </w:sdtContent>
      </w:sdt>
      <w:r w:rsidR="001C363A" w:rsidRPr="005A6820">
        <w:rPr>
          <w:rFonts w:eastAsia="Times New Roman" w:cstheme="minorHAnsi"/>
          <w:i/>
          <w:iCs/>
          <w:sz w:val="24"/>
          <w:szCs w:val="24"/>
        </w:rPr>
        <w:t>.</w:t>
      </w:r>
      <w:r w:rsidRPr="005A6820">
        <w:rPr>
          <w:rFonts w:eastAsia="Times New Roman" w:cstheme="minorHAnsi"/>
          <w:sz w:val="24"/>
          <w:szCs w:val="24"/>
        </w:rPr>
        <w:t xml:space="preserve"> </w:t>
      </w:r>
      <w:r w:rsidRPr="000B012F">
        <w:rPr>
          <w:rFonts w:eastAsia="Times New Roman" w:cstheme="minorHAnsi"/>
          <w:color w:val="FF0000"/>
          <w:sz w:val="24"/>
          <w:szCs w:val="24"/>
        </w:rPr>
        <w:t> </w:t>
      </w:r>
    </w:p>
    <w:p w:rsidR="00C654F8" w:rsidRPr="00E31F38" w:rsidRDefault="000B012F" w:rsidP="00C654F8">
      <w:pPr>
        <w:spacing w:after="0" w:line="240" w:lineRule="auto"/>
        <w:rPr>
          <w:rFonts w:eastAsia="Times New Roman" w:cstheme="minorHAnsi"/>
          <w:sz w:val="24"/>
          <w:szCs w:val="24"/>
        </w:rPr>
      </w:pPr>
      <w:r w:rsidRPr="000B012F">
        <w:rPr>
          <w:rFonts w:eastAsia="Times New Roman" w:cstheme="minorHAnsi"/>
          <w:color w:val="000000"/>
          <w:sz w:val="24"/>
          <w:szCs w:val="24"/>
        </w:rPr>
        <w:t> </w:t>
      </w:r>
      <w:r w:rsidR="00C654F8" w:rsidRPr="00E31F38">
        <w:rPr>
          <w:rFonts w:eastAsia="Times New Roman" w:cstheme="minorHAnsi"/>
          <w:color w:val="000000"/>
          <w:sz w:val="24"/>
          <w:szCs w:val="24"/>
        </w:rPr>
        <w:t> </w:t>
      </w:r>
    </w:p>
    <w:p w:rsidR="00C654F8" w:rsidRPr="00E31F38" w:rsidRDefault="00C654F8" w:rsidP="00C654F8">
      <w:pPr>
        <w:spacing w:after="0" w:line="240" w:lineRule="auto"/>
        <w:rPr>
          <w:rFonts w:eastAsia="Times New Roman" w:cstheme="minorHAnsi"/>
          <w:color w:val="000000"/>
          <w:sz w:val="24"/>
          <w:szCs w:val="24"/>
        </w:rPr>
      </w:pPr>
      <w:r w:rsidRPr="00E31F38">
        <w:rPr>
          <w:rFonts w:eastAsia="Times New Roman" w:cstheme="minorHAnsi"/>
          <w:color w:val="000000"/>
          <w:sz w:val="24"/>
          <w:szCs w:val="24"/>
        </w:rPr>
        <w:t xml:space="preserve">Pediatric nurses are registered practitioners who care for children of all ages in a variety of healthcare settings and specializations. They are credentialed through the National Council of State Boards of Nursing and strive to deliver safe and respectful care that is based on evidence and clinical expertise—not ideology. This care is child- and family-centered, aligns with the patient’s/family’s values and preferences, and adheres to the Patient Bill of Rights, which affirms rights, information, partnership, and autonomy when making healthcare decisions.  </w:t>
      </w:r>
    </w:p>
    <w:p w:rsidR="00C654F8" w:rsidRPr="00E31F38" w:rsidRDefault="00C654F8" w:rsidP="00C654F8">
      <w:pPr>
        <w:spacing w:after="0" w:line="240" w:lineRule="auto"/>
        <w:rPr>
          <w:rFonts w:eastAsia="Times New Roman" w:cstheme="minorHAnsi"/>
          <w:color w:val="000000"/>
          <w:sz w:val="24"/>
          <w:szCs w:val="24"/>
        </w:rPr>
      </w:pPr>
    </w:p>
    <w:p w:rsidR="00C654F8" w:rsidRPr="00E31F38" w:rsidRDefault="00C654F8" w:rsidP="00C654F8">
      <w:pPr>
        <w:spacing w:after="0" w:line="240" w:lineRule="auto"/>
        <w:rPr>
          <w:rFonts w:eastAsia="Times New Roman" w:cstheme="minorHAnsi"/>
          <w:color w:val="000000"/>
          <w:sz w:val="24"/>
          <w:szCs w:val="24"/>
        </w:rPr>
      </w:pPr>
      <w:r w:rsidRPr="00E31F38">
        <w:rPr>
          <w:rFonts w:eastAsia="Times New Roman" w:cstheme="minorHAnsi"/>
          <w:color w:val="000000"/>
          <w:sz w:val="24"/>
          <w:szCs w:val="24"/>
        </w:rPr>
        <w:t>In accordance with their training and SPN’s mission, pediatric nurses seek to inform children and</w:t>
      </w:r>
      <w:r w:rsidR="00D742EC">
        <w:rPr>
          <w:rFonts w:eastAsia="Times New Roman" w:cstheme="minorHAnsi"/>
          <w:color w:val="000000"/>
          <w:sz w:val="24"/>
          <w:szCs w:val="24"/>
        </w:rPr>
        <w:t xml:space="preserve"> their families or </w:t>
      </w:r>
      <w:r w:rsidRPr="00E31F38">
        <w:rPr>
          <w:rFonts w:eastAsia="Times New Roman" w:cstheme="minorHAnsi"/>
          <w:color w:val="000000"/>
          <w:sz w:val="24"/>
          <w:szCs w:val="24"/>
        </w:rPr>
        <w:t>legal guardians of their rights as patients while enabling them to be active members of the healthcare team, partner with healthcare practitioners, and participate in the</w:t>
      </w:r>
      <w:r w:rsidR="00D742EC">
        <w:rPr>
          <w:rFonts w:eastAsia="Times New Roman" w:cstheme="minorHAnsi"/>
          <w:color w:val="000000"/>
          <w:sz w:val="24"/>
          <w:szCs w:val="24"/>
        </w:rPr>
        <w:t>ir</w:t>
      </w:r>
      <w:r w:rsidRPr="00E31F38">
        <w:rPr>
          <w:rFonts w:eastAsia="Times New Roman" w:cstheme="minorHAnsi"/>
          <w:color w:val="000000"/>
          <w:sz w:val="24"/>
          <w:szCs w:val="24"/>
        </w:rPr>
        <w:t xml:space="preserve"> plan of care.</w:t>
      </w:r>
    </w:p>
    <w:p w:rsidR="00C654F8" w:rsidRPr="00E31F38" w:rsidRDefault="00C654F8" w:rsidP="00C654F8">
      <w:pPr>
        <w:spacing w:after="0" w:line="240" w:lineRule="auto"/>
        <w:rPr>
          <w:rFonts w:eastAsia="Times New Roman" w:cstheme="minorHAnsi"/>
          <w:color w:val="000000"/>
          <w:sz w:val="24"/>
          <w:szCs w:val="24"/>
        </w:rPr>
      </w:pPr>
    </w:p>
    <w:p w:rsidR="00C654F8" w:rsidRPr="00E31F38" w:rsidRDefault="00C654F8" w:rsidP="00C654F8">
      <w:pPr>
        <w:spacing w:after="0" w:line="240" w:lineRule="auto"/>
        <w:rPr>
          <w:rFonts w:eastAsia="Times New Roman" w:cstheme="minorHAnsi"/>
          <w:sz w:val="24"/>
          <w:szCs w:val="24"/>
        </w:rPr>
      </w:pPr>
      <w:r w:rsidRPr="00E31F38">
        <w:rPr>
          <w:rFonts w:eastAsia="Times New Roman" w:cstheme="minorHAnsi"/>
          <w:color w:val="000000"/>
          <w:sz w:val="24"/>
          <w:szCs w:val="24"/>
        </w:rPr>
        <w:t xml:space="preserve">Ensuring patient access to healthcare is a core element of the Patient Bill of Rights. Legislation such as </w:t>
      </w:r>
      <w:sdt>
        <w:sdtPr>
          <w:rPr>
            <w:rFonts w:eastAsia="Times New Roman" w:cstheme="minorHAnsi"/>
            <w:color w:val="000000"/>
            <w:sz w:val="24"/>
            <w:szCs w:val="24"/>
          </w:rPr>
          <w:id w:val="-1711640642"/>
          <w:placeholder>
            <w:docPart w:val="DefaultPlaceholder_-1854013440"/>
          </w:placeholder>
        </w:sdtPr>
        <w:sdtEndPr>
          <w:rPr>
            <w:i/>
            <w:color w:val="FF0000"/>
          </w:rPr>
        </w:sdtEndPr>
        <w:sdtContent>
          <w:r w:rsidRPr="00E31F38">
            <w:rPr>
              <w:rFonts w:eastAsia="Times New Roman" w:cstheme="minorHAnsi"/>
              <w:i/>
              <w:color w:val="FF0000"/>
              <w:sz w:val="24"/>
              <w:szCs w:val="24"/>
            </w:rPr>
            <w:t>[insert bill number here]</w:t>
          </w:r>
        </w:sdtContent>
      </w:sdt>
      <w:r w:rsidRPr="00E31F38">
        <w:rPr>
          <w:rFonts w:eastAsia="Times New Roman" w:cstheme="minorHAnsi"/>
          <w:i/>
          <w:color w:val="FF0000"/>
          <w:sz w:val="24"/>
          <w:szCs w:val="24"/>
        </w:rPr>
        <w:t xml:space="preserve"> </w:t>
      </w:r>
      <w:r>
        <w:rPr>
          <w:rFonts w:eastAsia="Times New Roman" w:cstheme="minorHAnsi"/>
          <w:sz w:val="24"/>
          <w:szCs w:val="24"/>
        </w:rPr>
        <w:t>supports this</w:t>
      </w:r>
      <w:r w:rsidRPr="00E31F38">
        <w:rPr>
          <w:rFonts w:eastAsia="Times New Roman" w:cstheme="minorHAnsi"/>
          <w:sz w:val="24"/>
          <w:szCs w:val="24"/>
        </w:rPr>
        <w:t xml:space="preserve"> right. As protectors of the rights of their patients, pediatric nurses—regardless of ideology—</w:t>
      </w:r>
      <w:r>
        <w:rPr>
          <w:rFonts w:eastAsia="Times New Roman" w:cstheme="minorHAnsi"/>
          <w:sz w:val="24"/>
          <w:szCs w:val="24"/>
        </w:rPr>
        <w:t xml:space="preserve">support </w:t>
      </w:r>
      <w:r w:rsidRPr="00E31F38">
        <w:rPr>
          <w:rFonts w:eastAsia="Times New Roman" w:cstheme="minorHAnsi"/>
          <w:sz w:val="24"/>
          <w:szCs w:val="24"/>
        </w:rPr>
        <w:t xml:space="preserve">measures that </w:t>
      </w:r>
      <w:r>
        <w:rPr>
          <w:rFonts w:eastAsia="Times New Roman" w:cstheme="minorHAnsi"/>
          <w:sz w:val="24"/>
          <w:szCs w:val="24"/>
        </w:rPr>
        <w:t>protect</w:t>
      </w:r>
      <w:r w:rsidRPr="00E31F38">
        <w:rPr>
          <w:rFonts w:eastAsia="Times New Roman" w:cstheme="minorHAnsi"/>
          <w:sz w:val="24"/>
          <w:szCs w:val="24"/>
        </w:rPr>
        <w:t xml:space="preserve"> this access. </w:t>
      </w:r>
    </w:p>
    <w:p w:rsidR="00C654F8" w:rsidRPr="00E31F38" w:rsidRDefault="00C654F8" w:rsidP="00C654F8">
      <w:pPr>
        <w:spacing w:after="0" w:line="240" w:lineRule="auto"/>
        <w:rPr>
          <w:rFonts w:eastAsia="Times New Roman" w:cstheme="minorHAnsi"/>
          <w:sz w:val="24"/>
          <w:szCs w:val="24"/>
        </w:rPr>
      </w:pPr>
    </w:p>
    <w:p w:rsidR="00C654F8" w:rsidRPr="00E31F38" w:rsidRDefault="00C654F8" w:rsidP="00C654F8">
      <w:pPr>
        <w:spacing w:after="0" w:line="240" w:lineRule="auto"/>
        <w:rPr>
          <w:rFonts w:eastAsia="Times New Roman" w:cstheme="minorHAnsi"/>
          <w:sz w:val="24"/>
          <w:szCs w:val="24"/>
        </w:rPr>
      </w:pPr>
      <w:r>
        <w:rPr>
          <w:rFonts w:eastAsia="Times New Roman" w:cstheme="minorHAnsi"/>
          <w:sz w:val="24"/>
          <w:szCs w:val="24"/>
        </w:rPr>
        <w:t>This bill would protect against future p</w:t>
      </w:r>
      <w:r w:rsidRPr="00E31F38">
        <w:rPr>
          <w:rFonts w:eastAsia="Times New Roman" w:cstheme="minorHAnsi"/>
          <w:sz w:val="24"/>
          <w:szCs w:val="24"/>
        </w:rPr>
        <w:t xml:space="preserve">olicies that </w:t>
      </w:r>
      <w:r>
        <w:rPr>
          <w:rFonts w:eastAsia="Times New Roman" w:cstheme="minorHAnsi"/>
          <w:sz w:val="24"/>
          <w:szCs w:val="24"/>
        </w:rPr>
        <w:t xml:space="preserve">may seek to </w:t>
      </w:r>
      <w:r w:rsidRPr="00E31F38">
        <w:rPr>
          <w:rFonts w:eastAsia="Times New Roman" w:cstheme="minorHAnsi"/>
          <w:sz w:val="24"/>
          <w:szCs w:val="24"/>
        </w:rPr>
        <w:t>deny a practitioner’s ability to provide evidence-based care to patients</w:t>
      </w:r>
      <w:r>
        <w:rPr>
          <w:rFonts w:eastAsia="Times New Roman" w:cstheme="minorHAnsi"/>
          <w:sz w:val="24"/>
          <w:szCs w:val="24"/>
        </w:rPr>
        <w:t>, which could</w:t>
      </w:r>
      <w:r w:rsidRPr="00E31F38">
        <w:rPr>
          <w:rFonts w:eastAsia="Times New Roman" w:cstheme="minorHAnsi"/>
          <w:sz w:val="24"/>
          <w:szCs w:val="24"/>
        </w:rPr>
        <w:t xml:space="preserve"> result in series health consequences to </w:t>
      </w:r>
      <w:r>
        <w:rPr>
          <w:rFonts w:eastAsia="Times New Roman" w:cstheme="minorHAnsi"/>
          <w:sz w:val="24"/>
          <w:szCs w:val="24"/>
        </w:rPr>
        <w:t>those</w:t>
      </w:r>
      <w:r w:rsidRPr="00E31F38">
        <w:rPr>
          <w:rFonts w:eastAsia="Times New Roman" w:cstheme="minorHAnsi"/>
          <w:sz w:val="24"/>
          <w:szCs w:val="24"/>
        </w:rPr>
        <w:t xml:space="preserve"> seeking such care. </w:t>
      </w:r>
      <w:r>
        <w:rPr>
          <w:rFonts w:eastAsia="Times New Roman" w:cstheme="minorHAnsi"/>
          <w:sz w:val="24"/>
          <w:szCs w:val="24"/>
        </w:rPr>
        <w:t>Policy</w:t>
      </w:r>
      <w:r w:rsidRPr="00E31F38">
        <w:rPr>
          <w:rFonts w:eastAsia="Times New Roman" w:cstheme="minorHAnsi"/>
          <w:sz w:val="24"/>
          <w:szCs w:val="24"/>
        </w:rPr>
        <w:t xml:space="preserve"> seeking to protect the unique needs and well-being of minors and should not interfere with providers’ clinical judgement. </w:t>
      </w:r>
      <w:r>
        <w:rPr>
          <w:rFonts w:eastAsia="Times New Roman" w:cstheme="minorHAnsi"/>
          <w:sz w:val="24"/>
          <w:szCs w:val="24"/>
        </w:rPr>
        <w:t xml:space="preserve">This bill helps uphold the practitioners’ ability to </w:t>
      </w:r>
      <w:r w:rsidR="005700DE">
        <w:rPr>
          <w:rFonts w:eastAsia="Times New Roman" w:cstheme="minorHAnsi"/>
          <w:sz w:val="24"/>
          <w:szCs w:val="24"/>
        </w:rPr>
        <w:t xml:space="preserve">provide the most appropriate, evidence-based care, in accordance with their scopes of practice. </w:t>
      </w:r>
    </w:p>
    <w:p w:rsidR="00C654F8" w:rsidRPr="00E31F38" w:rsidRDefault="00C654F8" w:rsidP="00C654F8">
      <w:pPr>
        <w:spacing w:after="0" w:line="240" w:lineRule="auto"/>
        <w:rPr>
          <w:rFonts w:eastAsia="Times New Roman" w:cstheme="minorHAnsi"/>
          <w:sz w:val="24"/>
          <w:szCs w:val="24"/>
        </w:rPr>
      </w:pPr>
    </w:p>
    <w:p w:rsidR="00C654F8" w:rsidRPr="00E31F38" w:rsidRDefault="00C654F8" w:rsidP="00C654F8">
      <w:pPr>
        <w:spacing w:after="0" w:line="240" w:lineRule="auto"/>
        <w:rPr>
          <w:rFonts w:eastAsia="Times New Roman" w:cstheme="minorHAnsi"/>
          <w:sz w:val="24"/>
          <w:szCs w:val="24"/>
        </w:rPr>
      </w:pPr>
      <w:r w:rsidRPr="00E31F38">
        <w:rPr>
          <w:rFonts w:eastAsia="Times New Roman" w:cstheme="minorHAnsi"/>
          <w:sz w:val="24"/>
          <w:szCs w:val="24"/>
        </w:rPr>
        <w:t xml:space="preserve">It is important to understand the differences and nuances of gender-affirming care that is spurring </w:t>
      </w:r>
      <w:r w:rsidR="005700DE">
        <w:rPr>
          <w:rFonts w:eastAsia="Times New Roman" w:cstheme="minorHAnsi"/>
          <w:sz w:val="24"/>
          <w:szCs w:val="24"/>
        </w:rPr>
        <w:t>policy debates.</w:t>
      </w:r>
      <w:r w:rsidRPr="00E31F38">
        <w:rPr>
          <w:rFonts w:eastAsia="Times New Roman" w:cstheme="minorHAnsi"/>
          <w:i/>
          <w:color w:val="FF0000"/>
          <w:sz w:val="24"/>
          <w:szCs w:val="24"/>
        </w:rPr>
        <w:t xml:space="preserve"> </w:t>
      </w:r>
      <w:r w:rsidRPr="00E31F38">
        <w:rPr>
          <w:rFonts w:eastAsia="Times New Roman" w:cstheme="minorHAnsi"/>
          <w:sz w:val="24"/>
          <w:szCs w:val="24"/>
        </w:rPr>
        <w:t xml:space="preserve">Transgender refers to an individual whose gender identity does not align with the sex assigned at birth. Gender dysphoria is the </w:t>
      </w:r>
      <w:r w:rsidRPr="00E31F38">
        <w:rPr>
          <w:rFonts w:cstheme="minorHAnsi"/>
          <w:sz w:val="24"/>
          <w:szCs w:val="24"/>
        </w:rPr>
        <w:t xml:space="preserve">psychological distress that can result from a misalignment between an individual’s assigned sex and that individual’s gender </w:t>
      </w:r>
      <w:r w:rsidRPr="00E31F38">
        <w:rPr>
          <w:rFonts w:cstheme="minorHAnsi"/>
          <w:sz w:val="24"/>
          <w:szCs w:val="24"/>
        </w:rPr>
        <w:lastRenderedPageBreak/>
        <w:t xml:space="preserve">identity. Gender dysphoria can happen at any time in one’s life, but it is something that can begin during childhood and merits appropriate gender-affirming care.  </w:t>
      </w:r>
    </w:p>
    <w:p w:rsidR="00C654F8" w:rsidRPr="00E31F38" w:rsidRDefault="00C654F8" w:rsidP="00C654F8">
      <w:pPr>
        <w:spacing w:after="0" w:line="240" w:lineRule="auto"/>
        <w:rPr>
          <w:rFonts w:eastAsia="Times New Roman" w:cstheme="minorHAnsi"/>
          <w:sz w:val="24"/>
          <w:szCs w:val="24"/>
        </w:rPr>
      </w:pPr>
    </w:p>
    <w:p w:rsidR="00C654F8" w:rsidRPr="005700DE" w:rsidRDefault="00C654F8" w:rsidP="00C654F8">
      <w:pPr>
        <w:spacing w:after="0" w:line="240" w:lineRule="auto"/>
        <w:rPr>
          <w:rFonts w:eastAsia="Times New Roman" w:cstheme="minorHAnsi"/>
          <w:sz w:val="24"/>
          <w:szCs w:val="24"/>
        </w:rPr>
      </w:pPr>
      <w:r w:rsidRPr="00E31F38">
        <w:rPr>
          <w:rFonts w:eastAsia="Times New Roman" w:cstheme="minorHAnsi"/>
          <w:sz w:val="24"/>
          <w:szCs w:val="24"/>
        </w:rPr>
        <w:t>Gender-affirming care helps potentially transgender individuals understand</w:t>
      </w:r>
      <w:r w:rsidR="00D742EC">
        <w:rPr>
          <w:rFonts w:eastAsia="Times New Roman" w:cstheme="minorHAnsi"/>
          <w:sz w:val="24"/>
          <w:szCs w:val="24"/>
        </w:rPr>
        <w:t>,</w:t>
      </w:r>
      <w:r w:rsidRPr="00E31F38">
        <w:rPr>
          <w:rFonts w:eastAsia="Times New Roman" w:cstheme="minorHAnsi"/>
          <w:sz w:val="24"/>
          <w:szCs w:val="24"/>
        </w:rPr>
        <w:t xml:space="preserve"> and come to terms with</w:t>
      </w:r>
      <w:r w:rsidR="00D742EC">
        <w:rPr>
          <w:rFonts w:eastAsia="Times New Roman" w:cstheme="minorHAnsi"/>
          <w:sz w:val="24"/>
          <w:szCs w:val="24"/>
        </w:rPr>
        <w:t>,</w:t>
      </w:r>
      <w:r w:rsidRPr="00E31F38">
        <w:rPr>
          <w:rFonts w:eastAsia="Times New Roman" w:cstheme="minorHAnsi"/>
          <w:sz w:val="24"/>
          <w:szCs w:val="24"/>
        </w:rPr>
        <w:t xml:space="preserve"> their gender identity. This care is evidence-based and not a one-size fits package. It includes a range of </w:t>
      </w:r>
      <w:r w:rsidRPr="00E31F38">
        <w:rPr>
          <w:rFonts w:cstheme="minorHAnsi"/>
          <w:sz w:val="24"/>
          <w:szCs w:val="24"/>
        </w:rPr>
        <w:t xml:space="preserve">social, psychological, behavioral, and medical considerations or interventions to help determine and support an individual’s gender identity when it conflicts with their assigned gender. </w:t>
      </w:r>
      <w:r w:rsidR="00D742EC">
        <w:rPr>
          <w:rFonts w:cstheme="minorHAnsi"/>
          <w:sz w:val="24"/>
          <w:szCs w:val="24"/>
        </w:rPr>
        <w:t>This</w:t>
      </w:r>
      <w:r w:rsidRPr="00E31F38">
        <w:rPr>
          <w:rFonts w:cstheme="minorHAnsi"/>
          <w:sz w:val="24"/>
          <w:szCs w:val="24"/>
        </w:rPr>
        <w:t xml:space="preserve"> care helps those who are—or may be—transgender connect and align emotional, interpersonal, and biological aspects of their lives—with the gender with which they identity.</w:t>
      </w:r>
    </w:p>
    <w:p w:rsidR="00C654F8" w:rsidRPr="00E31F38" w:rsidRDefault="00C654F8" w:rsidP="00C654F8">
      <w:pPr>
        <w:spacing w:after="0" w:line="240" w:lineRule="auto"/>
        <w:rPr>
          <w:rFonts w:eastAsia="Times New Roman" w:cstheme="minorHAnsi"/>
          <w:sz w:val="24"/>
          <w:szCs w:val="24"/>
        </w:rPr>
      </w:pPr>
    </w:p>
    <w:p w:rsidR="00C654F8" w:rsidRPr="00E31F38" w:rsidRDefault="00C654F8" w:rsidP="00C654F8">
      <w:pPr>
        <w:spacing w:after="0" w:line="240" w:lineRule="auto"/>
        <w:rPr>
          <w:rFonts w:eastAsia="Times New Roman" w:cstheme="minorHAnsi"/>
          <w:sz w:val="24"/>
          <w:szCs w:val="24"/>
        </w:rPr>
      </w:pPr>
      <w:r w:rsidRPr="00E31F38">
        <w:rPr>
          <w:rFonts w:eastAsia="Times New Roman" w:cstheme="minorHAnsi"/>
          <w:sz w:val="24"/>
          <w:szCs w:val="24"/>
        </w:rPr>
        <w:t xml:space="preserve">The provision of gender-affirming care for a minor that may be experiencing gender dysphoria is not taken lightly. It is a comprehensive process that seeks to understand a patient’s psychology around sex and gender to determine the most appropriate pathway for the patient and the patient’s family. This process does not always result in surgery—or even intervention. It is instead an explorative process to identify, understand, and meet the needs of a child who walks through this process alongside </w:t>
      </w:r>
      <w:r w:rsidR="005700DE">
        <w:rPr>
          <w:rFonts w:eastAsia="Times New Roman" w:cstheme="minorHAnsi"/>
          <w:sz w:val="24"/>
          <w:szCs w:val="24"/>
        </w:rPr>
        <w:t>a</w:t>
      </w:r>
      <w:r w:rsidRPr="00E31F38">
        <w:rPr>
          <w:rFonts w:eastAsia="Times New Roman" w:cstheme="minorHAnsi"/>
          <w:sz w:val="24"/>
          <w:szCs w:val="24"/>
        </w:rPr>
        <w:t xml:space="preserve"> healthcare team. </w:t>
      </w:r>
    </w:p>
    <w:p w:rsidR="00C654F8" w:rsidRPr="00E31F38" w:rsidRDefault="00C654F8" w:rsidP="00C654F8">
      <w:pPr>
        <w:spacing w:after="0" w:line="240" w:lineRule="auto"/>
        <w:rPr>
          <w:rFonts w:eastAsia="Times New Roman" w:cstheme="minorHAnsi"/>
          <w:sz w:val="24"/>
          <w:szCs w:val="24"/>
        </w:rPr>
      </w:pPr>
    </w:p>
    <w:p w:rsidR="00C654F8" w:rsidRPr="00E31F38" w:rsidRDefault="00C654F8" w:rsidP="00C654F8">
      <w:pPr>
        <w:spacing w:after="0" w:line="240" w:lineRule="auto"/>
        <w:rPr>
          <w:rStyle w:val="normaltextrun"/>
          <w:rFonts w:cstheme="minorHAnsi"/>
          <w:sz w:val="24"/>
          <w:szCs w:val="24"/>
        </w:rPr>
      </w:pPr>
      <w:r w:rsidRPr="00E31F38">
        <w:rPr>
          <w:rFonts w:eastAsia="Times New Roman" w:cstheme="minorHAnsi"/>
          <w:sz w:val="24"/>
          <w:szCs w:val="24"/>
        </w:rPr>
        <w:t xml:space="preserve">The SPN stands alongside the </w:t>
      </w:r>
      <w:r w:rsidRPr="00E31F38">
        <w:rPr>
          <w:rStyle w:val="normaltextrun"/>
          <w:rFonts w:cstheme="minorHAnsi"/>
          <w:sz w:val="24"/>
          <w:szCs w:val="24"/>
        </w:rPr>
        <w:t xml:space="preserve">Endocrine Society, the Pediatric Endocrine Society, the American Medical Association, the American Psychological Association, and the American Academy of Pediatrics and many other provider groups in recognizing the importance and medical necessity of gender-affirming care. </w:t>
      </w:r>
    </w:p>
    <w:p w:rsidR="00C654F8" w:rsidRPr="00E31F38" w:rsidRDefault="00C654F8" w:rsidP="00C654F8">
      <w:pPr>
        <w:spacing w:after="0" w:line="240" w:lineRule="auto"/>
        <w:rPr>
          <w:rStyle w:val="normaltextrun"/>
          <w:rFonts w:cstheme="minorHAnsi"/>
          <w:sz w:val="24"/>
          <w:szCs w:val="24"/>
        </w:rPr>
      </w:pPr>
    </w:p>
    <w:p w:rsidR="00C654F8" w:rsidRDefault="00D742EC" w:rsidP="00C654F8">
      <w:pPr>
        <w:spacing w:line="240" w:lineRule="auto"/>
        <w:rPr>
          <w:rFonts w:cstheme="minorHAnsi"/>
          <w:sz w:val="24"/>
          <w:szCs w:val="24"/>
        </w:rPr>
      </w:pPr>
      <w:r>
        <w:rPr>
          <w:rFonts w:cstheme="minorHAnsi"/>
          <w:sz w:val="24"/>
          <w:szCs w:val="24"/>
        </w:rPr>
        <w:t xml:space="preserve">These groups </w:t>
      </w:r>
      <w:r w:rsidR="00C654F8" w:rsidRPr="00E31F38">
        <w:rPr>
          <w:rFonts w:cstheme="minorHAnsi"/>
          <w:sz w:val="24"/>
          <w:szCs w:val="24"/>
        </w:rPr>
        <w:t>recommend reversible gender-affirmation care, such as puberty-suppression, for adolescents until the adolescent demonstrates capacity to provide informed consent for additional gender dysphoria interventions.</w:t>
      </w:r>
      <w:r w:rsidR="00C654F8" w:rsidRPr="00E31F38">
        <w:rPr>
          <w:rStyle w:val="FootnoteReference"/>
          <w:rFonts w:cstheme="minorHAnsi"/>
          <w:sz w:val="24"/>
          <w:szCs w:val="24"/>
        </w:rPr>
        <w:footnoteReference w:id="1"/>
      </w:r>
      <w:r w:rsidR="00C654F8" w:rsidRPr="00E31F38">
        <w:rPr>
          <w:rFonts w:cstheme="minorHAnsi"/>
          <w:sz w:val="24"/>
          <w:szCs w:val="24"/>
        </w:rPr>
        <w:t xml:space="preserve"> Current medical consensus does not recommend puberty suppressants or hormone treatments for pre-pubertal children with gender dysphoria/gender incongruence diagnoses.</w:t>
      </w:r>
      <w:r w:rsidR="00C654F8" w:rsidRPr="00E31F38">
        <w:rPr>
          <w:rStyle w:val="FootnoteReference"/>
          <w:rFonts w:cstheme="minorHAnsi"/>
          <w:sz w:val="24"/>
          <w:szCs w:val="24"/>
        </w:rPr>
        <w:footnoteReference w:id="2"/>
      </w:r>
      <w:r w:rsidR="00C654F8" w:rsidRPr="00E31F38">
        <w:rPr>
          <w:rFonts w:cstheme="minorHAnsi"/>
          <w:sz w:val="24"/>
          <w:szCs w:val="24"/>
        </w:rPr>
        <w:t xml:space="preserve"> </w:t>
      </w:r>
    </w:p>
    <w:p w:rsidR="00D742EC" w:rsidRDefault="00D742EC" w:rsidP="00D742EC">
      <w:pPr>
        <w:spacing w:after="0" w:line="240" w:lineRule="auto"/>
        <w:rPr>
          <w:rFonts w:cstheme="minorHAnsi"/>
          <w:sz w:val="24"/>
          <w:szCs w:val="24"/>
        </w:rPr>
      </w:pPr>
      <w:r w:rsidRPr="00E31F38">
        <w:rPr>
          <w:rFonts w:cstheme="minorHAnsi"/>
          <w:sz w:val="24"/>
          <w:szCs w:val="24"/>
        </w:rPr>
        <w:t>An example of appropriate gender-affirming care might include gradual dosage for sex-hormone therapy for certain adolescents with gender-dysphoria diagnoses who exhibit the mental capacity (typically 16 years or older) to provide informed consent and work closely with an informed, multi-disciplinary medical team. There is little data available for administering hormone therapies to individuals younger than 16 years of age and medical consensus does not recommend surgical interventions for adolescents.</w:t>
      </w:r>
      <w:r w:rsidRPr="00E31F38">
        <w:rPr>
          <w:rStyle w:val="FootnoteReference"/>
          <w:rFonts w:cstheme="minorHAnsi"/>
          <w:sz w:val="24"/>
          <w:szCs w:val="24"/>
        </w:rPr>
        <w:footnoteReference w:id="3"/>
      </w:r>
    </w:p>
    <w:p w:rsidR="00D742EC" w:rsidRPr="00E31F38" w:rsidRDefault="00D742EC" w:rsidP="00D742EC">
      <w:pPr>
        <w:spacing w:after="0" w:line="240" w:lineRule="auto"/>
        <w:rPr>
          <w:rFonts w:cstheme="minorHAnsi"/>
          <w:sz w:val="24"/>
          <w:szCs w:val="24"/>
        </w:rPr>
      </w:pPr>
    </w:p>
    <w:p w:rsidR="00C654F8" w:rsidRPr="00E31F38" w:rsidRDefault="00C654F8" w:rsidP="00C654F8">
      <w:pPr>
        <w:spacing w:after="0" w:line="240" w:lineRule="auto"/>
        <w:rPr>
          <w:rFonts w:eastAsia="Times New Roman" w:cstheme="minorHAnsi"/>
          <w:sz w:val="24"/>
          <w:szCs w:val="24"/>
        </w:rPr>
      </w:pPr>
      <w:r w:rsidRPr="00E31F38">
        <w:rPr>
          <w:rFonts w:eastAsia="Times New Roman" w:cstheme="minorHAnsi"/>
          <w:sz w:val="24"/>
          <w:szCs w:val="24"/>
        </w:rPr>
        <w:t xml:space="preserve">Ample evidence shows that minors who experience gender dysphoria suffer from higher rates of anxiety and depression that their non-transgender peers, which can lead to increased suicide risks. The Trevor Project’s 2020 National Survey on LGBTQ Youth Mental Health reported that </w:t>
      </w:r>
      <w:r w:rsidRPr="00E31F38">
        <w:rPr>
          <w:rFonts w:eastAsia="Times New Roman" w:cstheme="minorHAnsi"/>
          <w:sz w:val="24"/>
          <w:szCs w:val="24"/>
        </w:rPr>
        <w:lastRenderedPageBreak/>
        <w:t>54 percent of minors who identified as non</w:t>
      </w:r>
      <w:r w:rsidR="00D742EC">
        <w:rPr>
          <w:rFonts w:eastAsia="Times New Roman" w:cstheme="minorHAnsi"/>
          <w:sz w:val="24"/>
          <w:szCs w:val="24"/>
        </w:rPr>
        <w:t>-</w:t>
      </w:r>
      <w:r w:rsidRPr="00E31F38">
        <w:rPr>
          <w:rFonts w:eastAsia="Times New Roman" w:cstheme="minorHAnsi"/>
          <w:sz w:val="24"/>
          <w:szCs w:val="24"/>
        </w:rPr>
        <w:t>binary or transgender had contemplated suicide within the previous 12 months and 29 percent had attempted suicide within that timeframe.</w:t>
      </w:r>
      <w:r w:rsidR="00D742EC">
        <w:rPr>
          <w:rStyle w:val="FootnoteReference"/>
          <w:rFonts w:eastAsia="Times New Roman" w:cstheme="minorHAnsi"/>
          <w:sz w:val="24"/>
          <w:szCs w:val="24"/>
        </w:rPr>
        <w:footnoteReference w:id="4"/>
      </w:r>
      <w:r w:rsidRPr="00E31F38">
        <w:rPr>
          <w:rFonts w:eastAsia="Times New Roman" w:cstheme="minorHAnsi"/>
          <w:sz w:val="24"/>
          <w:szCs w:val="24"/>
        </w:rPr>
        <w:t xml:space="preserve"> </w:t>
      </w:r>
    </w:p>
    <w:p w:rsidR="00C654F8" w:rsidRPr="00E31F38" w:rsidRDefault="00C654F8" w:rsidP="00C654F8">
      <w:pPr>
        <w:spacing w:after="0" w:line="240" w:lineRule="auto"/>
        <w:rPr>
          <w:rFonts w:eastAsia="Times New Roman" w:cstheme="minorHAnsi"/>
          <w:sz w:val="24"/>
          <w:szCs w:val="24"/>
        </w:rPr>
      </w:pPr>
    </w:p>
    <w:p w:rsidR="00C654F8" w:rsidRPr="00E31F38" w:rsidRDefault="00C654F8" w:rsidP="00C654F8">
      <w:pPr>
        <w:spacing w:after="0" w:line="240" w:lineRule="auto"/>
        <w:rPr>
          <w:rFonts w:eastAsia="Times New Roman" w:cstheme="minorHAnsi"/>
          <w:sz w:val="24"/>
          <w:szCs w:val="24"/>
        </w:rPr>
      </w:pPr>
      <w:r w:rsidRPr="00E31F38">
        <w:rPr>
          <w:rFonts w:eastAsia="Times New Roman" w:cstheme="minorHAnsi"/>
          <w:sz w:val="24"/>
          <w:szCs w:val="24"/>
        </w:rPr>
        <w:t xml:space="preserve">The evidence base for improved mental disposition </w:t>
      </w:r>
      <w:r w:rsidR="00D742EC">
        <w:rPr>
          <w:rFonts w:eastAsia="Times New Roman" w:cstheme="minorHAnsi"/>
          <w:sz w:val="24"/>
          <w:szCs w:val="24"/>
        </w:rPr>
        <w:t xml:space="preserve">for those who receive appropriate gender-affirming care </w:t>
      </w:r>
      <w:r w:rsidRPr="00E31F38">
        <w:rPr>
          <w:rFonts w:eastAsia="Times New Roman" w:cstheme="minorHAnsi"/>
          <w:sz w:val="24"/>
          <w:szCs w:val="24"/>
        </w:rPr>
        <w:t xml:space="preserve">is strong. A 2016 study in </w:t>
      </w:r>
      <w:r w:rsidRPr="00E31F38">
        <w:rPr>
          <w:rFonts w:eastAsia="Times New Roman" w:cstheme="minorHAnsi"/>
          <w:i/>
          <w:sz w:val="24"/>
          <w:szCs w:val="24"/>
        </w:rPr>
        <w:t>Pediatrics</w:t>
      </w:r>
      <w:r w:rsidRPr="00E31F38">
        <w:rPr>
          <w:rFonts w:eastAsia="Times New Roman" w:cstheme="minorHAnsi"/>
          <w:sz w:val="24"/>
          <w:szCs w:val="24"/>
        </w:rPr>
        <w:t>, found that gender-affirming care lowered rates of anxiety and depression among recipients.</w:t>
      </w:r>
      <w:r w:rsidRPr="00E31F38">
        <w:rPr>
          <w:rStyle w:val="FootnoteReference"/>
          <w:rFonts w:eastAsia="Times New Roman" w:cstheme="minorHAnsi"/>
          <w:sz w:val="24"/>
          <w:szCs w:val="24"/>
        </w:rPr>
        <w:footnoteReference w:id="5"/>
      </w:r>
      <w:r w:rsidRPr="00E31F38">
        <w:rPr>
          <w:rFonts w:eastAsia="Times New Roman" w:cstheme="minorHAnsi"/>
          <w:sz w:val="24"/>
          <w:szCs w:val="24"/>
        </w:rPr>
        <w:t xml:space="preserve"> </w:t>
      </w:r>
      <w:r w:rsidRPr="00E31F38">
        <w:rPr>
          <w:rStyle w:val="normaltextrun"/>
          <w:rFonts w:cstheme="minorHAnsi"/>
          <w:sz w:val="24"/>
          <w:szCs w:val="24"/>
        </w:rPr>
        <w:t xml:space="preserve">Minors who received some degree of gender-affirming care </w:t>
      </w:r>
      <w:r w:rsidRPr="00E31F38">
        <w:rPr>
          <w:rFonts w:cstheme="minorHAnsi"/>
          <w:sz w:val="24"/>
          <w:szCs w:val="24"/>
        </w:rPr>
        <w:t>were 60-percent less likely to experience depression and were 73-percent less likely to consider suicide.</w:t>
      </w:r>
      <w:r w:rsidRPr="00E31F38">
        <w:rPr>
          <w:rStyle w:val="FootnoteReference"/>
          <w:rFonts w:cstheme="minorHAnsi"/>
          <w:sz w:val="24"/>
          <w:szCs w:val="24"/>
        </w:rPr>
        <w:footnoteReference w:id="6"/>
      </w:r>
      <w:r w:rsidRPr="00E31F38">
        <w:rPr>
          <w:rFonts w:cstheme="minorHAnsi"/>
          <w:sz w:val="24"/>
          <w:szCs w:val="24"/>
        </w:rPr>
        <w:t xml:space="preserve"> </w:t>
      </w:r>
    </w:p>
    <w:p w:rsidR="00C654F8" w:rsidRPr="00E31F38" w:rsidRDefault="00C654F8" w:rsidP="00C654F8">
      <w:pPr>
        <w:spacing w:after="0" w:line="240" w:lineRule="auto"/>
        <w:rPr>
          <w:rFonts w:eastAsia="Times New Roman" w:cstheme="minorHAnsi"/>
          <w:color w:val="000000"/>
          <w:sz w:val="24"/>
          <w:szCs w:val="24"/>
        </w:rPr>
      </w:pPr>
    </w:p>
    <w:p w:rsidR="00C654F8" w:rsidRPr="00E31F38" w:rsidRDefault="005700DE" w:rsidP="00C654F8">
      <w:pPr>
        <w:spacing w:after="0" w:line="240" w:lineRule="auto"/>
        <w:rPr>
          <w:rFonts w:eastAsia="Times New Roman" w:cstheme="minorHAnsi"/>
          <w:color w:val="000000"/>
          <w:sz w:val="24"/>
          <w:szCs w:val="24"/>
        </w:rPr>
      </w:pPr>
      <w:r>
        <w:rPr>
          <w:rFonts w:eastAsia="Times New Roman" w:cstheme="minorHAnsi"/>
          <w:color w:val="000000"/>
          <w:sz w:val="24"/>
          <w:szCs w:val="24"/>
        </w:rPr>
        <w:t>G</w:t>
      </w:r>
      <w:r w:rsidR="00C654F8" w:rsidRPr="00E31F38">
        <w:rPr>
          <w:rFonts w:eastAsia="Times New Roman" w:cstheme="minorHAnsi"/>
          <w:color w:val="000000"/>
          <w:sz w:val="24"/>
          <w:szCs w:val="24"/>
        </w:rPr>
        <w:t>ender-affirming care for minors is neither new nor a social trend. Pediatric nurses are well-versed in this care and see firsthand the benefit</w:t>
      </w:r>
      <w:r w:rsidR="00D742EC">
        <w:rPr>
          <w:rFonts w:eastAsia="Times New Roman" w:cstheme="minorHAnsi"/>
          <w:color w:val="000000"/>
          <w:sz w:val="24"/>
          <w:szCs w:val="24"/>
        </w:rPr>
        <w:t>s of appropriate, timely, care—</w:t>
      </w:r>
      <w:r w:rsidR="00C654F8" w:rsidRPr="00E31F38">
        <w:rPr>
          <w:rFonts w:eastAsia="Times New Roman" w:cstheme="minorHAnsi"/>
          <w:color w:val="000000"/>
          <w:sz w:val="24"/>
          <w:szCs w:val="24"/>
        </w:rPr>
        <w:t xml:space="preserve">and the consequences of delaying or refusing this care. </w:t>
      </w:r>
    </w:p>
    <w:p w:rsidR="00C654F8" w:rsidRPr="00E31F38" w:rsidRDefault="00C654F8" w:rsidP="00C654F8">
      <w:pPr>
        <w:spacing w:after="0" w:line="240" w:lineRule="auto"/>
        <w:rPr>
          <w:rFonts w:eastAsia="Times New Roman" w:cstheme="minorHAnsi"/>
          <w:color w:val="000000"/>
          <w:sz w:val="24"/>
          <w:szCs w:val="24"/>
        </w:rPr>
      </w:pPr>
    </w:p>
    <w:p w:rsidR="00C654F8" w:rsidRPr="00E31F38" w:rsidRDefault="00C654F8" w:rsidP="00C654F8">
      <w:pPr>
        <w:spacing w:after="0" w:line="240" w:lineRule="auto"/>
        <w:rPr>
          <w:rFonts w:eastAsia="Times New Roman" w:cstheme="minorHAnsi"/>
          <w:color w:val="000000"/>
          <w:sz w:val="24"/>
          <w:szCs w:val="24"/>
        </w:rPr>
      </w:pPr>
      <w:r w:rsidRPr="00E31F38">
        <w:rPr>
          <w:rFonts w:eastAsia="Times New Roman" w:cstheme="minorHAnsi"/>
          <w:color w:val="000000"/>
          <w:sz w:val="24"/>
          <w:szCs w:val="24"/>
        </w:rPr>
        <w:t>Providing reversible care to non-binary minors who later identify as cisgender makes them more secur</w:t>
      </w:r>
      <w:r w:rsidR="005700DE">
        <w:rPr>
          <w:rFonts w:eastAsia="Times New Roman" w:cstheme="minorHAnsi"/>
          <w:color w:val="000000"/>
          <w:sz w:val="24"/>
          <w:szCs w:val="24"/>
        </w:rPr>
        <w:t xml:space="preserve">e in their ultimate decision. </w:t>
      </w:r>
      <w:r w:rsidRPr="00E31F38">
        <w:rPr>
          <w:rFonts w:eastAsia="Times New Roman" w:cstheme="minorHAnsi"/>
          <w:color w:val="000000"/>
          <w:sz w:val="24"/>
          <w:szCs w:val="24"/>
        </w:rPr>
        <w:t xml:space="preserve">Transgender adults who did not receive puberty </w:t>
      </w:r>
      <w:r w:rsidR="005700DE">
        <w:rPr>
          <w:rFonts w:eastAsia="Times New Roman" w:cstheme="minorHAnsi"/>
          <w:color w:val="000000"/>
          <w:sz w:val="24"/>
          <w:szCs w:val="24"/>
        </w:rPr>
        <w:t>suppressants</w:t>
      </w:r>
      <w:r w:rsidRPr="00E31F38">
        <w:rPr>
          <w:rFonts w:eastAsia="Times New Roman" w:cstheme="minorHAnsi"/>
          <w:color w:val="000000"/>
          <w:sz w:val="24"/>
          <w:szCs w:val="24"/>
        </w:rPr>
        <w:t xml:space="preserve"> as minors are more likely to need surgeries and other intensive medical procedures </w:t>
      </w:r>
      <w:r w:rsidR="00D742EC">
        <w:rPr>
          <w:rFonts w:eastAsia="Times New Roman" w:cstheme="minorHAnsi"/>
          <w:color w:val="000000"/>
          <w:sz w:val="24"/>
          <w:szCs w:val="24"/>
        </w:rPr>
        <w:t>in adulthood</w:t>
      </w:r>
      <w:r w:rsidRPr="00E31F38">
        <w:rPr>
          <w:rFonts w:eastAsia="Times New Roman" w:cstheme="minorHAnsi"/>
          <w:color w:val="000000"/>
          <w:sz w:val="24"/>
          <w:szCs w:val="24"/>
        </w:rPr>
        <w:t>. Finally, the distress that youth experience who discontinue treatments and grow up cisgender, is significantly less than what transgender youth experience if such treatments are delayed.</w:t>
      </w:r>
    </w:p>
    <w:p w:rsidR="00C654F8" w:rsidRPr="00E31F38" w:rsidRDefault="00C654F8" w:rsidP="00C654F8">
      <w:pPr>
        <w:spacing w:after="0" w:line="240" w:lineRule="auto"/>
        <w:rPr>
          <w:rFonts w:eastAsia="Times New Roman" w:cstheme="minorHAnsi"/>
          <w:color w:val="000000"/>
          <w:sz w:val="24"/>
          <w:szCs w:val="24"/>
        </w:rPr>
      </w:pPr>
    </w:p>
    <w:p w:rsidR="00C654F8" w:rsidRPr="00E31F38" w:rsidRDefault="00C654F8" w:rsidP="00C654F8">
      <w:pPr>
        <w:spacing w:line="240" w:lineRule="auto"/>
        <w:rPr>
          <w:rFonts w:eastAsia="Times New Roman" w:cstheme="minorHAnsi"/>
          <w:sz w:val="24"/>
          <w:szCs w:val="24"/>
        </w:rPr>
      </w:pPr>
      <w:r w:rsidRPr="00E31F38">
        <w:rPr>
          <w:rStyle w:val="normaltextrun"/>
          <w:rFonts w:cstheme="minorHAnsi"/>
          <w:sz w:val="24"/>
          <w:szCs w:val="24"/>
        </w:rPr>
        <w:t xml:space="preserve">Medical data, not ideology, should inform patient-treatment decisions. </w:t>
      </w:r>
      <w:r w:rsidRPr="00E31F38">
        <w:rPr>
          <w:rFonts w:cstheme="minorHAnsi"/>
          <w:sz w:val="24"/>
          <w:szCs w:val="24"/>
        </w:rPr>
        <w:t xml:space="preserve">Policies that prohibit pediatric nurses from providing appropriate care to their patients </w:t>
      </w:r>
      <w:r w:rsidRPr="00E31F38">
        <w:rPr>
          <w:rFonts w:eastAsia="Times New Roman" w:cstheme="minorHAnsi"/>
          <w:sz w:val="24"/>
          <w:szCs w:val="24"/>
        </w:rPr>
        <w:t xml:space="preserve">can result in series health consequences to patients seeking such care. Further, such policy also poses risks of criminal sentencing and license revocation for nurses who do provide this care. </w:t>
      </w:r>
    </w:p>
    <w:p w:rsidR="00C654F8" w:rsidRPr="005700DE" w:rsidRDefault="005A6820" w:rsidP="005700DE">
      <w:pPr>
        <w:spacing w:line="240" w:lineRule="auto"/>
        <w:rPr>
          <w:rFonts w:eastAsia="Times New Roman" w:cstheme="minorHAnsi"/>
          <w:sz w:val="24"/>
          <w:szCs w:val="24"/>
        </w:rPr>
      </w:pPr>
      <w:sdt>
        <w:sdtPr>
          <w:rPr>
            <w:rFonts w:eastAsia="Times New Roman" w:cstheme="minorHAnsi"/>
            <w:i/>
            <w:color w:val="FF0000"/>
            <w:sz w:val="24"/>
            <w:szCs w:val="24"/>
          </w:rPr>
          <w:id w:val="492531365"/>
          <w:placeholder>
            <w:docPart w:val="DefaultPlaceholder_-1854013440"/>
          </w:placeholder>
        </w:sdtPr>
        <w:sdtContent>
          <w:r w:rsidR="005700DE">
            <w:rPr>
              <w:rFonts w:eastAsia="Times New Roman" w:cstheme="minorHAnsi"/>
              <w:i/>
              <w:color w:val="FF0000"/>
              <w:sz w:val="24"/>
              <w:szCs w:val="24"/>
            </w:rPr>
            <w:t>[I</w:t>
          </w:r>
          <w:r w:rsidR="005700DE" w:rsidRPr="00E31F38">
            <w:rPr>
              <w:rFonts w:eastAsia="Times New Roman" w:cstheme="minorHAnsi"/>
              <w:i/>
              <w:color w:val="FF0000"/>
              <w:sz w:val="24"/>
              <w:szCs w:val="24"/>
            </w:rPr>
            <w:t>nsert bill number here</w:t>
          </w:r>
          <w:r w:rsidR="005700DE">
            <w:rPr>
              <w:rFonts w:eastAsia="Times New Roman" w:cstheme="minorHAnsi"/>
              <w:i/>
              <w:color w:val="FF0000"/>
              <w:sz w:val="24"/>
              <w:szCs w:val="24"/>
            </w:rPr>
            <w:t>]</w:t>
          </w:r>
        </w:sdtContent>
      </w:sdt>
      <w:r w:rsidR="005700DE">
        <w:rPr>
          <w:rFonts w:eastAsia="Times New Roman" w:cstheme="minorHAnsi"/>
          <w:i/>
          <w:color w:val="FF0000"/>
          <w:sz w:val="24"/>
          <w:szCs w:val="24"/>
        </w:rPr>
        <w:t xml:space="preserve"> </w:t>
      </w:r>
      <w:r w:rsidR="005700DE">
        <w:rPr>
          <w:rFonts w:eastAsia="Times New Roman" w:cstheme="minorHAnsi"/>
          <w:sz w:val="24"/>
          <w:szCs w:val="24"/>
        </w:rPr>
        <w:t xml:space="preserve">would protects the practitioner-patient relationship and prevents infringement upon </w:t>
      </w:r>
      <w:r w:rsidR="00C654F8" w:rsidRPr="00E31F38">
        <w:rPr>
          <w:rFonts w:eastAsia="Times New Roman" w:cstheme="minorHAnsi"/>
          <w:sz w:val="24"/>
          <w:szCs w:val="24"/>
        </w:rPr>
        <w:t xml:space="preserve">medical management protocol informed by </w:t>
      </w:r>
      <w:r w:rsidR="005700DE">
        <w:rPr>
          <w:rFonts w:eastAsia="Times New Roman" w:cstheme="minorHAnsi"/>
          <w:sz w:val="24"/>
          <w:szCs w:val="24"/>
        </w:rPr>
        <w:t>evidence-based medical consensus</w:t>
      </w:r>
      <w:r w:rsidR="00C654F8" w:rsidRPr="00E31F38">
        <w:rPr>
          <w:rFonts w:eastAsia="Times New Roman" w:cstheme="minorHAnsi"/>
          <w:sz w:val="24"/>
          <w:szCs w:val="24"/>
        </w:rPr>
        <w:t xml:space="preserve">. </w:t>
      </w:r>
      <w:r w:rsidR="005700DE">
        <w:rPr>
          <w:rFonts w:eastAsia="Times New Roman" w:cstheme="minorHAnsi"/>
          <w:sz w:val="24"/>
          <w:szCs w:val="24"/>
        </w:rPr>
        <w:t xml:space="preserve">It would also protect against policy from interfering with the clinician-patient relationship. </w:t>
      </w:r>
      <w:r w:rsidR="00C654F8" w:rsidRPr="00E31F38">
        <w:rPr>
          <w:rFonts w:cstheme="minorHAnsi"/>
          <w:sz w:val="24"/>
          <w:szCs w:val="24"/>
        </w:rPr>
        <w:t>According to the U.S. Department of Health &amp; Human Services’ Office for Civil Rights, restricting access to care is dangerous as it “creates a chilling effect” on the providers caring for transgender youth and threatens the health and well-being of these youth.</w:t>
      </w:r>
      <w:r w:rsidR="00C654F8" w:rsidRPr="00E31F38">
        <w:rPr>
          <w:rStyle w:val="FootnoteReference"/>
          <w:rFonts w:cstheme="minorHAnsi"/>
          <w:sz w:val="24"/>
          <w:szCs w:val="24"/>
        </w:rPr>
        <w:footnoteReference w:id="7"/>
      </w:r>
      <w:r w:rsidR="00C654F8" w:rsidRPr="00E31F38">
        <w:rPr>
          <w:rFonts w:cstheme="minorHAnsi"/>
          <w:sz w:val="24"/>
          <w:szCs w:val="24"/>
        </w:rPr>
        <w:t xml:space="preserve">  </w:t>
      </w:r>
      <w:r w:rsidR="005700DE">
        <w:rPr>
          <w:rFonts w:cstheme="minorHAnsi"/>
          <w:sz w:val="24"/>
          <w:szCs w:val="24"/>
        </w:rPr>
        <w:t xml:space="preserve">It is important that we work to ensure this relationship remains protected. </w:t>
      </w:r>
    </w:p>
    <w:p w:rsidR="00C654F8" w:rsidRPr="00E31F38" w:rsidRDefault="005A6820" w:rsidP="00C654F8">
      <w:pPr>
        <w:spacing w:after="0" w:line="240" w:lineRule="auto"/>
        <w:rPr>
          <w:rFonts w:eastAsia="Times New Roman" w:cstheme="minorHAnsi"/>
          <w:sz w:val="24"/>
          <w:szCs w:val="24"/>
        </w:rPr>
      </w:pPr>
      <w:sdt>
        <w:sdtPr>
          <w:rPr>
            <w:rFonts w:eastAsia="Times New Roman" w:cstheme="minorHAnsi"/>
            <w:i/>
            <w:iCs/>
            <w:color w:val="FF0000"/>
            <w:sz w:val="24"/>
            <w:szCs w:val="24"/>
          </w:rPr>
          <w:id w:val="369418784"/>
          <w:placeholder>
            <w:docPart w:val="DefaultPlaceholder_-1854013440"/>
          </w:placeholder>
        </w:sdtPr>
        <w:sdtContent>
          <w:r w:rsidR="00C654F8" w:rsidRPr="00E31F38">
            <w:rPr>
              <w:rFonts w:eastAsia="Times New Roman" w:cstheme="minorHAnsi"/>
              <w:i/>
              <w:iCs/>
              <w:color w:val="FF0000"/>
              <w:sz w:val="24"/>
              <w:szCs w:val="24"/>
            </w:rPr>
            <w:t xml:space="preserve">[Insert the name of your state SPN </w:t>
          </w:r>
          <w:r>
            <w:rPr>
              <w:rFonts w:eastAsia="Times New Roman" w:cstheme="minorHAnsi"/>
              <w:i/>
              <w:iCs/>
              <w:color w:val="FF0000"/>
              <w:sz w:val="24"/>
              <w:szCs w:val="24"/>
            </w:rPr>
            <w:t>Chapter</w:t>
          </w:r>
          <w:r w:rsidR="00C654F8" w:rsidRPr="00E31F38">
            <w:rPr>
              <w:rFonts w:eastAsia="Times New Roman" w:cstheme="minorHAnsi"/>
              <w:i/>
              <w:iCs/>
              <w:color w:val="FF0000"/>
              <w:sz w:val="24"/>
              <w:szCs w:val="24"/>
            </w:rPr>
            <w:t xml:space="preserve"> or </w:t>
          </w:r>
          <w:r w:rsidR="00D742EC">
            <w:rPr>
              <w:rFonts w:eastAsia="Times New Roman" w:cstheme="minorHAnsi"/>
              <w:i/>
              <w:iCs/>
              <w:color w:val="FF0000"/>
              <w:sz w:val="24"/>
              <w:szCs w:val="24"/>
            </w:rPr>
            <w:t xml:space="preserve">just </w:t>
          </w:r>
          <w:r w:rsidR="00C654F8" w:rsidRPr="00E31F38">
            <w:rPr>
              <w:rFonts w:eastAsia="Times New Roman" w:cstheme="minorHAnsi"/>
              <w:i/>
              <w:iCs/>
              <w:color w:val="FF0000"/>
              <w:sz w:val="24"/>
              <w:szCs w:val="24"/>
            </w:rPr>
            <w:t>SPN</w:t>
          </w:r>
          <w:r>
            <w:rPr>
              <w:rFonts w:eastAsia="Times New Roman" w:cstheme="minorHAnsi"/>
              <w:i/>
              <w:iCs/>
              <w:color w:val="FF0000"/>
              <w:sz w:val="24"/>
              <w:szCs w:val="24"/>
            </w:rPr>
            <w:t xml:space="preserve"> National</w:t>
          </w:r>
        </w:sdtContent>
      </w:sdt>
      <w:r w:rsidR="00C654F8" w:rsidRPr="00E31F38">
        <w:rPr>
          <w:rFonts w:eastAsia="Times New Roman" w:cstheme="minorHAnsi"/>
          <w:i/>
          <w:iCs/>
          <w:color w:val="FF0000"/>
          <w:sz w:val="24"/>
          <w:szCs w:val="24"/>
        </w:rPr>
        <w:t xml:space="preserve">] </w:t>
      </w:r>
      <w:r w:rsidR="00C654F8" w:rsidRPr="00E31F38">
        <w:rPr>
          <w:rFonts w:eastAsia="Times New Roman" w:cstheme="minorHAnsi"/>
          <w:iCs/>
          <w:sz w:val="24"/>
          <w:szCs w:val="24"/>
        </w:rPr>
        <w:t>hopes</w:t>
      </w:r>
      <w:r w:rsidR="00C654F8" w:rsidRPr="00E31F38">
        <w:rPr>
          <w:rFonts w:eastAsia="Times New Roman" w:cstheme="minorHAnsi"/>
          <w:color w:val="000000"/>
          <w:sz w:val="24"/>
          <w:szCs w:val="24"/>
        </w:rPr>
        <w:t xml:space="preserve"> that </w:t>
      </w:r>
      <w:sdt>
        <w:sdtPr>
          <w:rPr>
            <w:rFonts w:eastAsia="Times New Roman" w:cstheme="minorHAnsi"/>
            <w:color w:val="000000"/>
            <w:sz w:val="24"/>
            <w:szCs w:val="24"/>
          </w:rPr>
          <w:id w:val="1335040216"/>
          <w:placeholder>
            <w:docPart w:val="DefaultPlaceholder_-1854013440"/>
          </w:placeholder>
        </w:sdtPr>
        <w:sdtEndPr>
          <w:rPr>
            <w:i/>
            <w:iCs/>
            <w:color w:val="FF0000"/>
          </w:rPr>
        </w:sdtEndPr>
        <w:sdtContent>
          <w:r w:rsidR="00C654F8" w:rsidRPr="00E31F38">
            <w:rPr>
              <w:rFonts w:eastAsia="Times New Roman" w:cstheme="minorHAnsi"/>
              <w:color w:val="000000"/>
              <w:sz w:val="24"/>
              <w:szCs w:val="24"/>
            </w:rPr>
            <w:t xml:space="preserve">the </w:t>
          </w:r>
          <w:r w:rsidR="00C654F8" w:rsidRPr="00E31F38">
            <w:rPr>
              <w:rFonts w:eastAsia="Times New Roman" w:cstheme="minorHAnsi"/>
              <w:i/>
              <w:iCs/>
              <w:color w:val="FF0000"/>
              <w:sz w:val="24"/>
              <w:szCs w:val="24"/>
            </w:rPr>
            <w:t>[insert the name of the committee you to which you are testifying]</w:t>
          </w:r>
        </w:sdtContent>
      </w:sdt>
      <w:r w:rsidR="00C654F8" w:rsidRPr="00E31F38">
        <w:rPr>
          <w:rFonts w:eastAsia="Times New Roman" w:cstheme="minorHAnsi"/>
          <w:color w:val="FF0000"/>
          <w:sz w:val="24"/>
          <w:szCs w:val="24"/>
        </w:rPr>
        <w:t xml:space="preserve"> </w:t>
      </w:r>
      <w:r w:rsidR="00C654F8" w:rsidRPr="00E31F38">
        <w:rPr>
          <w:rFonts w:eastAsia="Times New Roman" w:cstheme="minorHAnsi"/>
          <w:color w:val="000000"/>
          <w:sz w:val="24"/>
          <w:szCs w:val="24"/>
        </w:rPr>
        <w:t xml:space="preserve">will work to </w:t>
      </w:r>
      <w:r w:rsidR="005700DE">
        <w:rPr>
          <w:rFonts w:eastAsia="Times New Roman" w:cstheme="minorHAnsi"/>
          <w:color w:val="000000"/>
          <w:sz w:val="24"/>
          <w:szCs w:val="24"/>
        </w:rPr>
        <w:t>pass</w:t>
      </w:r>
      <w:r w:rsidR="00C654F8" w:rsidRPr="00E31F38">
        <w:rPr>
          <w:rFonts w:eastAsia="Times New Roman" w:cstheme="minorHAnsi"/>
          <w:color w:val="000000"/>
          <w:sz w:val="24"/>
          <w:szCs w:val="24"/>
        </w:rPr>
        <w:t xml:space="preserve"> </w:t>
      </w:r>
      <w:sdt>
        <w:sdtPr>
          <w:rPr>
            <w:rFonts w:eastAsia="Times New Roman" w:cstheme="minorHAnsi"/>
            <w:color w:val="000000"/>
            <w:sz w:val="24"/>
            <w:szCs w:val="24"/>
          </w:rPr>
          <w:id w:val="1783694126"/>
          <w:placeholder>
            <w:docPart w:val="DefaultPlaceholder_-1854013440"/>
          </w:placeholder>
        </w:sdtPr>
        <w:sdtEndPr>
          <w:rPr>
            <w:i/>
            <w:color w:val="FF0000"/>
          </w:rPr>
        </w:sdtEndPr>
        <w:sdtContent>
          <w:r w:rsidR="00C654F8" w:rsidRPr="00E31F38">
            <w:rPr>
              <w:rFonts w:eastAsia="Times New Roman" w:cstheme="minorHAnsi"/>
              <w:i/>
              <w:color w:val="FF0000"/>
              <w:sz w:val="24"/>
              <w:szCs w:val="24"/>
            </w:rPr>
            <w:t>[insert bill number here]</w:t>
          </w:r>
        </w:sdtContent>
      </w:sdt>
      <w:r w:rsidR="00C654F8" w:rsidRPr="00E31F38">
        <w:rPr>
          <w:rFonts w:eastAsia="Times New Roman" w:cstheme="minorHAnsi"/>
          <w:i/>
          <w:color w:val="FF0000"/>
          <w:sz w:val="24"/>
          <w:szCs w:val="24"/>
        </w:rPr>
        <w:t xml:space="preserve"> </w:t>
      </w:r>
      <w:r w:rsidR="00C654F8" w:rsidRPr="00E31F38">
        <w:rPr>
          <w:rFonts w:eastAsia="Times New Roman" w:cstheme="minorHAnsi"/>
          <w:color w:val="000000"/>
          <w:sz w:val="24"/>
          <w:szCs w:val="24"/>
        </w:rPr>
        <w:t xml:space="preserve">so pediatric nurses and other clinicians can continue to provide minors in </w:t>
      </w:r>
      <w:sdt>
        <w:sdtPr>
          <w:rPr>
            <w:rFonts w:eastAsia="Times New Roman" w:cstheme="minorHAnsi"/>
            <w:color w:val="000000"/>
            <w:sz w:val="24"/>
            <w:szCs w:val="24"/>
          </w:rPr>
          <w:id w:val="1310284174"/>
          <w:placeholder>
            <w:docPart w:val="DefaultPlaceholder_-1854013440"/>
          </w:placeholder>
        </w:sdtPr>
        <w:sdtEndPr>
          <w:rPr>
            <w:i/>
            <w:iCs/>
            <w:color w:val="FF0000"/>
          </w:rPr>
        </w:sdtEndPr>
        <w:sdtContent>
          <w:r w:rsidR="00C654F8" w:rsidRPr="00E31F38">
            <w:rPr>
              <w:rFonts w:eastAsia="Times New Roman" w:cstheme="minorHAnsi"/>
              <w:i/>
              <w:iCs/>
              <w:color w:val="FF0000"/>
              <w:sz w:val="24"/>
              <w:szCs w:val="24"/>
            </w:rPr>
            <w:t>[insert the name of your state]</w:t>
          </w:r>
        </w:sdtContent>
      </w:sdt>
      <w:r w:rsidR="00C654F8" w:rsidRPr="00E31F38">
        <w:rPr>
          <w:rFonts w:eastAsia="Times New Roman" w:cstheme="minorHAnsi"/>
          <w:color w:val="FF0000"/>
          <w:sz w:val="24"/>
          <w:szCs w:val="24"/>
        </w:rPr>
        <w:t xml:space="preserve"> </w:t>
      </w:r>
      <w:r w:rsidR="00C654F8" w:rsidRPr="00E31F38">
        <w:rPr>
          <w:rFonts w:eastAsia="Times New Roman" w:cstheme="minorHAnsi"/>
          <w:color w:val="000000"/>
          <w:sz w:val="24"/>
          <w:szCs w:val="24"/>
        </w:rPr>
        <w:t xml:space="preserve">appropriate, evidence-based care as prescribed by their training and expertise. I </w:t>
      </w:r>
      <w:r w:rsidR="005700DE">
        <w:rPr>
          <w:rFonts w:eastAsia="Times New Roman" w:cstheme="minorHAnsi"/>
          <w:color w:val="000000"/>
          <w:sz w:val="24"/>
          <w:szCs w:val="24"/>
        </w:rPr>
        <w:t>t</w:t>
      </w:r>
      <w:r w:rsidR="00C654F8" w:rsidRPr="00E31F38">
        <w:rPr>
          <w:rFonts w:eastAsia="Times New Roman" w:cstheme="minorHAnsi"/>
          <w:color w:val="000000"/>
          <w:sz w:val="24"/>
          <w:szCs w:val="24"/>
        </w:rPr>
        <w:t xml:space="preserve">hank the </w:t>
      </w:r>
      <w:sdt>
        <w:sdtPr>
          <w:rPr>
            <w:rFonts w:eastAsia="Times New Roman" w:cstheme="minorHAnsi"/>
            <w:color w:val="000000"/>
            <w:sz w:val="24"/>
            <w:szCs w:val="24"/>
          </w:rPr>
          <w:id w:val="-182975778"/>
          <w:placeholder>
            <w:docPart w:val="DefaultPlaceholder_-1854013440"/>
          </w:placeholder>
        </w:sdtPr>
        <w:sdtEndPr>
          <w:rPr>
            <w:color w:val="FF0000"/>
          </w:rPr>
        </w:sdtEndPr>
        <w:sdtContent>
          <w:r w:rsidR="00C654F8" w:rsidRPr="00E31F38">
            <w:rPr>
              <w:rFonts w:eastAsia="Times New Roman" w:cstheme="minorHAnsi"/>
              <w:color w:val="FF0000"/>
              <w:sz w:val="24"/>
              <w:szCs w:val="24"/>
            </w:rPr>
            <w:t>Chairman/Chairwoman</w:t>
          </w:r>
        </w:sdtContent>
      </w:sdt>
      <w:r w:rsidR="00C654F8" w:rsidRPr="00E31F38">
        <w:rPr>
          <w:rFonts w:eastAsia="Times New Roman" w:cstheme="minorHAnsi"/>
          <w:color w:val="FF0000"/>
          <w:sz w:val="24"/>
          <w:szCs w:val="24"/>
        </w:rPr>
        <w:t xml:space="preserve"> </w:t>
      </w:r>
      <w:r w:rsidR="00C654F8" w:rsidRPr="00E31F38">
        <w:rPr>
          <w:rFonts w:eastAsia="Times New Roman" w:cstheme="minorHAnsi"/>
          <w:color w:val="000000"/>
          <w:sz w:val="24"/>
          <w:szCs w:val="24"/>
        </w:rPr>
        <w:t>and this committee for your attention to this important issue, and offer myself as a resource as you move forward.</w:t>
      </w:r>
    </w:p>
    <w:p w:rsidR="000B012F" w:rsidRPr="00D742EC" w:rsidRDefault="000B012F" w:rsidP="00D742EC">
      <w:pPr>
        <w:rPr>
          <w:rFonts w:cstheme="minorHAnsi"/>
          <w:sz w:val="24"/>
          <w:szCs w:val="24"/>
        </w:rPr>
      </w:pPr>
    </w:p>
    <w:sectPr w:rsidR="000B012F" w:rsidRPr="00D742EC" w:rsidSect="00D742EC">
      <w:footerReference w:type="default" r:id="rId9"/>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2E3" w:rsidRDefault="003A12E3" w:rsidP="000B012F">
      <w:pPr>
        <w:spacing w:after="0" w:line="240" w:lineRule="auto"/>
      </w:pPr>
      <w:r>
        <w:separator/>
      </w:r>
    </w:p>
  </w:endnote>
  <w:endnote w:type="continuationSeparator" w:id="0">
    <w:p w:rsidR="003A12E3" w:rsidRDefault="003A12E3" w:rsidP="000B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2EC" w:rsidRPr="00D742EC" w:rsidRDefault="00D742EC" w:rsidP="00D742EC">
    <w:pPr>
      <w:pStyle w:val="Footer"/>
      <w:rPr>
        <w:sz w:val="18"/>
        <w:szCs w:val="16"/>
      </w:rPr>
    </w:pPr>
    <w:r w:rsidRPr="00D742EC">
      <w:rPr>
        <w:sz w:val="18"/>
        <w:szCs w:val="16"/>
      </w:rPr>
      <w:t xml:space="preserve">SPN Sample Testimony </w:t>
    </w:r>
    <w:r>
      <w:rPr>
        <w:sz w:val="18"/>
        <w:szCs w:val="16"/>
      </w:rPr>
      <w:t xml:space="preserve">in Support of </w:t>
    </w:r>
    <w:r w:rsidRPr="00D742EC">
      <w:rPr>
        <w:sz w:val="18"/>
        <w:szCs w:val="16"/>
      </w:rPr>
      <w:t xml:space="preserve">Gender-Affirming Care </w:t>
    </w:r>
    <w:r>
      <w:rPr>
        <w:sz w:val="18"/>
        <w:szCs w:val="16"/>
      </w:rPr>
      <w:t>Legislation</w:t>
    </w:r>
    <w:r w:rsidRPr="00D742EC">
      <w:rPr>
        <w:sz w:val="18"/>
        <w:szCs w:val="16"/>
      </w:rPr>
      <w:tab/>
    </w:r>
    <w:sdt>
      <w:sdtPr>
        <w:rPr>
          <w:sz w:val="18"/>
          <w:szCs w:val="16"/>
        </w:rPr>
        <w:id w:val="-1033573393"/>
        <w:docPartObj>
          <w:docPartGallery w:val="Page Numbers (Bottom of Page)"/>
          <w:docPartUnique/>
        </w:docPartObj>
      </w:sdtPr>
      <w:sdtEndPr>
        <w:rPr>
          <w:noProof/>
        </w:rPr>
      </w:sdtEndPr>
      <w:sdtContent>
        <w:r w:rsidRPr="00D742EC">
          <w:rPr>
            <w:sz w:val="18"/>
            <w:szCs w:val="16"/>
          </w:rPr>
          <w:fldChar w:fldCharType="begin"/>
        </w:r>
        <w:r w:rsidRPr="00D742EC">
          <w:rPr>
            <w:sz w:val="18"/>
            <w:szCs w:val="16"/>
          </w:rPr>
          <w:instrText xml:space="preserve"> PAGE   \* MERGEFORMAT </w:instrText>
        </w:r>
        <w:r w:rsidRPr="00D742EC">
          <w:rPr>
            <w:sz w:val="18"/>
            <w:szCs w:val="16"/>
          </w:rPr>
          <w:fldChar w:fldCharType="separate"/>
        </w:r>
        <w:r w:rsidR="005A6820">
          <w:rPr>
            <w:noProof/>
            <w:sz w:val="18"/>
            <w:szCs w:val="16"/>
          </w:rPr>
          <w:t>1</w:t>
        </w:r>
        <w:r w:rsidRPr="00D742EC">
          <w:rPr>
            <w:noProof/>
            <w:sz w:val="18"/>
            <w:szCs w:val="16"/>
          </w:rPr>
          <w:fldChar w:fldCharType="end"/>
        </w:r>
      </w:sdtContent>
    </w:sdt>
  </w:p>
  <w:p w:rsidR="003A12E3" w:rsidRDefault="003A1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2E3" w:rsidRDefault="003A12E3" w:rsidP="000B012F">
      <w:pPr>
        <w:spacing w:after="0" w:line="240" w:lineRule="auto"/>
      </w:pPr>
      <w:r>
        <w:separator/>
      </w:r>
    </w:p>
  </w:footnote>
  <w:footnote w:type="continuationSeparator" w:id="0">
    <w:p w:rsidR="003A12E3" w:rsidRDefault="003A12E3" w:rsidP="000B012F">
      <w:pPr>
        <w:spacing w:after="0" w:line="240" w:lineRule="auto"/>
      </w:pPr>
      <w:r>
        <w:continuationSeparator/>
      </w:r>
    </w:p>
  </w:footnote>
  <w:footnote w:id="1">
    <w:p w:rsidR="00C654F8" w:rsidRPr="00D742EC" w:rsidRDefault="00C654F8" w:rsidP="00C654F8">
      <w:pPr>
        <w:pStyle w:val="FootnoteText"/>
        <w:rPr>
          <w:rFonts w:cstheme="minorHAnsi"/>
          <w:sz w:val="16"/>
          <w:szCs w:val="16"/>
        </w:rPr>
      </w:pPr>
      <w:r w:rsidRPr="00D742EC">
        <w:rPr>
          <w:rStyle w:val="FootnoteReference"/>
          <w:rFonts w:cstheme="minorHAnsi"/>
          <w:sz w:val="16"/>
          <w:szCs w:val="16"/>
        </w:rPr>
        <w:footnoteRef/>
      </w:r>
      <w:r w:rsidRPr="00D742EC">
        <w:rPr>
          <w:rFonts w:cstheme="minorHAnsi"/>
          <w:sz w:val="16"/>
          <w:szCs w:val="16"/>
        </w:rPr>
        <w:t xml:space="preserve"> The Endocrine Society</w:t>
      </w:r>
      <w:r w:rsidRPr="00D742EC">
        <w:rPr>
          <w:rFonts w:cstheme="minorHAnsi"/>
          <w:i/>
          <w:sz w:val="16"/>
          <w:szCs w:val="16"/>
        </w:rPr>
        <w:t>. Discriminatory policies threaten care for transgender, gender diverse individuals</w:t>
      </w:r>
      <w:r w:rsidRPr="00D742EC">
        <w:rPr>
          <w:rFonts w:cstheme="minorHAnsi"/>
          <w:sz w:val="16"/>
          <w:szCs w:val="16"/>
        </w:rPr>
        <w:t>. December 2020. https://www.endocrine.org/news-and-advocacy/news-room/2020/discriminatory-policies-threaten-care-for-transgender-gender-diverse-individuals</w:t>
      </w:r>
    </w:p>
  </w:footnote>
  <w:footnote w:id="2">
    <w:p w:rsidR="00C654F8" w:rsidRPr="00D742EC" w:rsidRDefault="00C654F8" w:rsidP="00C654F8">
      <w:pPr>
        <w:pStyle w:val="FootnoteText"/>
        <w:rPr>
          <w:rFonts w:cstheme="minorHAnsi"/>
          <w:sz w:val="16"/>
          <w:szCs w:val="16"/>
        </w:rPr>
      </w:pPr>
      <w:r w:rsidRPr="00D742EC">
        <w:rPr>
          <w:rStyle w:val="FootnoteReference"/>
          <w:rFonts w:cstheme="minorHAnsi"/>
          <w:sz w:val="16"/>
          <w:szCs w:val="16"/>
        </w:rPr>
        <w:footnoteRef/>
      </w:r>
      <w:r w:rsidRPr="00D742EC">
        <w:rPr>
          <w:rFonts w:cstheme="minorHAnsi"/>
          <w:sz w:val="16"/>
          <w:szCs w:val="16"/>
        </w:rPr>
        <w:t xml:space="preserve"> </w:t>
      </w:r>
      <w:r w:rsidR="005700DE" w:rsidRPr="00D742EC">
        <w:rPr>
          <w:rFonts w:cstheme="minorHAnsi"/>
          <w:sz w:val="16"/>
          <w:szCs w:val="16"/>
        </w:rPr>
        <w:t>Ibid.</w:t>
      </w:r>
    </w:p>
  </w:footnote>
  <w:footnote w:id="3">
    <w:p w:rsidR="00D742EC" w:rsidRPr="006F514A" w:rsidRDefault="00D742EC" w:rsidP="00D742EC">
      <w:pPr>
        <w:pStyle w:val="FootnoteText"/>
        <w:rPr>
          <w:rFonts w:ascii="Arial" w:hAnsi="Arial" w:cs="Arial"/>
          <w:sz w:val="16"/>
          <w:szCs w:val="16"/>
        </w:rPr>
      </w:pPr>
      <w:r w:rsidRPr="00D742EC">
        <w:rPr>
          <w:rStyle w:val="FootnoteReference"/>
          <w:rFonts w:cstheme="minorHAnsi"/>
          <w:sz w:val="16"/>
          <w:szCs w:val="16"/>
        </w:rPr>
        <w:footnoteRef/>
      </w:r>
      <w:r w:rsidRPr="00D742EC">
        <w:rPr>
          <w:rFonts w:cstheme="minorHAnsi"/>
          <w:sz w:val="16"/>
          <w:szCs w:val="16"/>
        </w:rPr>
        <w:t xml:space="preserve"> The Endocrine Society and Pediatric Endocrine Society. </w:t>
      </w:r>
      <w:r w:rsidRPr="00D742EC">
        <w:rPr>
          <w:rFonts w:cstheme="minorHAnsi"/>
          <w:i/>
          <w:sz w:val="16"/>
          <w:szCs w:val="16"/>
        </w:rPr>
        <w:t>Transgender Health: Supporting Gender Diverse Youth to Improve their Health, Well-Being, and Safety</w:t>
      </w:r>
      <w:r w:rsidRPr="00D742EC">
        <w:rPr>
          <w:rFonts w:cstheme="minorHAnsi"/>
          <w:sz w:val="16"/>
          <w:szCs w:val="16"/>
        </w:rPr>
        <w:t>. https://www.endocrine.org/-/media/endocrine/files/advocacy/documents/transgender_health_minors_fact_sheet.pdf</w:t>
      </w:r>
    </w:p>
  </w:footnote>
  <w:footnote w:id="4">
    <w:p w:rsidR="00D742EC" w:rsidRPr="00D742EC" w:rsidRDefault="00D742EC">
      <w:pPr>
        <w:pStyle w:val="FootnoteText"/>
        <w:rPr>
          <w:sz w:val="16"/>
          <w:szCs w:val="18"/>
        </w:rPr>
      </w:pPr>
      <w:r w:rsidRPr="00D742EC">
        <w:rPr>
          <w:rStyle w:val="FootnoteReference"/>
          <w:sz w:val="16"/>
          <w:szCs w:val="18"/>
        </w:rPr>
        <w:footnoteRef/>
      </w:r>
      <w:r w:rsidRPr="00D742EC">
        <w:rPr>
          <w:sz w:val="16"/>
          <w:szCs w:val="18"/>
        </w:rPr>
        <w:t xml:space="preserve"> The Trevor Project. National Survey on LGBTQ Youth Mental Health.</w:t>
      </w:r>
    </w:p>
  </w:footnote>
  <w:footnote w:id="5">
    <w:p w:rsidR="00C654F8" w:rsidRPr="00D742EC" w:rsidRDefault="00C654F8" w:rsidP="00C654F8">
      <w:pPr>
        <w:pStyle w:val="FootnoteText"/>
        <w:rPr>
          <w:rFonts w:cstheme="minorHAnsi"/>
          <w:sz w:val="16"/>
          <w:szCs w:val="16"/>
        </w:rPr>
      </w:pPr>
      <w:r w:rsidRPr="00D742EC">
        <w:rPr>
          <w:rStyle w:val="FootnoteReference"/>
          <w:rFonts w:cstheme="minorHAnsi"/>
          <w:sz w:val="16"/>
          <w:szCs w:val="16"/>
        </w:rPr>
        <w:footnoteRef/>
      </w:r>
      <w:r w:rsidRPr="00D742EC">
        <w:rPr>
          <w:rFonts w:cstheme="minorHAnsi"/>
          <w:sz w:val="16"/>
          <w:szCs w:val="16"/>
        </w:rPr>
        <w:t xml:space="preserve"> Olson, Kristina R; Durwood, Lily; DeMeules, Madeine, McLaughlin, Katie. </w:t>
      </w:r>
      <w:r w:rsidRPr="00D742EC">
        <w:rPr>
          <w:rFonts w:cstheme="minorHAnsi"/>
          <w:i/>
          <w:sz w:val="16"/>
          <w:szCs w:val="16"/>
        </w:rPr>
        <w:t>Mental Health of Transgender Children Who Are Supported in Their Identities</w:t>
      </w:r>
      <w:r w:rsidRPr="00D742EC">
        <w:rPr>
          <w:rFonts w:cstheme="minorHAnsi"/>
          <w:sz w:val="16"/>
          <w:szCs w:val="16"/>
        </w:rPr>
        <w:t xml:space="preserve">. </w:t>
      </w:r>
      <w:r w:rsidRPr="00D742EC">
        <w:rPr>
          <w:rFonts w:cstheme="minorHAnsi"/>
          <w:sz w:val="16"/>
          <w:szCs w:val="16"/>
          <w:u w:val="single"/>
        </w:rPr>
        <w:t>Pediatrics</w:t>
      </w:r>
      <w:r w:rsidRPr="00D742EC">
        <w:rPr>
          <w:rFonts w:cstheme="minorHAnsi"/>
          <w:sz w:val="16"/>
          <w:szCs w:val="16"/>
        </w:rPr>
        <w:t xml:space="preserve">. March 2016. </w:t>
      </w:r>
    </w:p>
  </w:footnote>
  <w:footnote w:id="6">
    <w:p w:rsidR="00C654F8" w:rsidRPr="00D742EC" w:rsidRDefault="00C654F8" w:rsidP="005700DE">
      <w:pPr>
        <w:pStyle w:val="FootnoteText"/>
        <w:rPr>
          <w:rFonts w:cstheme="minorHAnsi"/>
          <w:sz w:val="16"/>
          <w:szCs w:val="16"/>
        </w:rPr>
      </w:pPr>
      <w:r w:rsidRPr="00D742EC">
        <w:rPr>
          <w:rStyle w:val="FootnoteReference"/>
          <w:rFonts w:cstheme="minorHAnsi"/>
          <w:sz w:val="16"/>
          <w:szCs w:val="16"/>
        </w:rPr>
        <w:footnoteRef/>
      </w:r>
      <w:r w:rsidRPr="00D742EC">
        <w:rPr>
          <w:rFonts w:cstheme="minorHAnsi"/>
          <w:sz w:val="16"/>
          <w:szCs w:val="16"/>
        </w:rPr>
        <w:t xml:space="preserve"> Tordoff, Diana M. </w:t>
      </w:r>
      <w:hyperlink r:id="rId1" w:history="1">
        <w:r w:rsidRPr="00D742EC">
          <w:rPr>
            <w:rStyle w:val="Hyperlink"/>
            <w:rFonts w:cstheme="minorHAnsi"/>
            <w:sz w:val="16"/>
            <w:szCs w:val="16"/>
          </w:rPr>
          <w:t>Mental Health Outcomes in Transgender and Nonbinary Youths Receiving Gender-Affirming Care.</w:t>
        </w:r>
      </w:hyperlink>
      <w:r w:rsidRPr="00D742EC">
        <w:rPr>
          <w:rFonts w:cstheme="minorHAnsi"/>
          <w:sz w:val="16"/>
          <w:szCs w:val="16"/>
        </w:rPr>
        <w:t xml:space="preserve"> </w:t>
      </w:r>
      <w:r w:rsidRPr="00D742EC">
        <w:rPr>
          <w:rFonts w:cstheme="minorHAnsi"/>
          <w:sz w:val="16"/>
          <w:szCs w:val="16"/>
          <w:u w:val="single"/>
        </w:rPr>
        <w:t>JAMA</w:t>
      </w:r>
      <w:r w:rsidRPr="00D742EC">
        <w:rPr>
          <w:rFonts w:cstheme="minorHAnsi"/>
          <w:sz w:val="16"/>
          <w:szCs w:val="16"/>
        </w:rPr>
        <w:t xml:space="preserve">. February 2022. </w:t>
      </w:r>
    </w:p>
  </w:footnote>
  <w:footnote w:id="7">
    <w:p w:rsidR="00C654F8" w:rsidRPr="000462C7" w:rsidRDefault="00C654F8" w:rsidP="00C654F8">
      <w:pPr>
        <w:pStyle w:val="FootnoteText"/>
        <w:rPr>
          <w:rFonts w:ascii="Arial" w:hAnsi="Arial" w:cs="Arial"/>
          <w:b/>
        </w:rPr>
      </w:pPr>
      <w:r w:rsidRPr="00D742EC">
        <w:rPr>
          <w:rStyle w:val="FootnoteReference"/>
          <w:rFonts w:cstheme="minorHAnsi"/>
          <w:sz w:val="16"/>
          <w:szCs w:val="16"/>
        </w:rPr>
        <w:footnoteRef/>
      </w:r>
      <w:r w:rsidRPr="00D742EC">
        <w:rPr>
          <w:rFonts w:cstheme="minorHAnsi"/>
          <w:sz w:val="16"/>
          <w:szCs w:val="16"/>
        </w:rPr>
        <w:t xml:space="preserve"> U.S. Department of Health &amp; Human Services’ Office for Civil Rights. </w:t>
      </w:r>
      <w:r w:rsidRPr="00D742EC">
        <w:rPr>
          <w:rFonts w:cstheme="minorHAnsi"/>
          <w:i/>
          <w:sz w:val="16"/>
          <w:szCs w:val="16"/>
        </w:rPr>
        <w:t>HHS Notice and Guidance on Gender Affirming Care, Civil Rights, and Patient Privacy.</w:t>
      </w:r>
      <w:r w:rsidRPr="00D742EC">
        <w:rPr>
          <w:rFonts w:cstheme="minorHAnsi"/>
          <w:sz w:val="16"/>
          <w:szCs w:val="16"/>
        </w:rPr>
        <w:t xml:space="preserve"> March 2, 2022. https://www.hhs.gov/sites/default/files/hhs-ocr-notice-and-guidance-gender-affirming-care.pdf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36021"/>
    <w:multiLevelType w:val="multilevel"/>
    <w:tmpl w:val="447C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452B55"/>
    <w:multiLevelType w:val="multilevel"/>
    <w:tmpl w:val="2AD0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2C7563"/>
    <w:multiLevelType w:val="multilevel"/>
    <w:tmpl w:val="65B68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22107D"/>
    <w:multiLevelType w:val="multilevel"/>
    <w:tmpl w:val="6004F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9C7255"/>
    <w:multiLevelType w:val="multilevel"/>
    <w:tmpl w:val="ECEE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nUWVPOxkYfruvtce9lvZV6dQMhCiHwYQOUDdhg3tf/xRgh7RpDW6lvkvyBvaIUp/qgdSrYZz+DMl5PwIN3yjlQ==" w:salt="5YGk3yyOvVGXia1dNPMJ/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12F"/>
    <w:rsid w:val="000167E7"/>
    <w:rsid w:val="000B012F"/>
    <w:rsid w:val="001B2B57"/>
    <w:rsid w:val="001C363A"/>
    <w:rsid w:val="001F1A4F"/>
    <w:rsid w:val="00293087"/>
    <w:rsid w:val="00383CDA"/>
    <w:rsid w:val="003A12E3"/>
    <w:rsid w:val="00411E48"/>
    <w:rsid w:val="005700DE"/>
    <w:rsid w:val="005A6820"/>
    <w:rsid w:val="00640C34"/>
    <w:rsid w:val="006508D0"/>
    <w:rsid w:val="00664A2F"/>
    <w:rsid w:val="0067196C"/>
    <w:rsid w:val="006C163D"/>
    <w:rsid w:val="00782FFC"/>
    <w:rsid w:val="007B08E9"/>
    <w:rsid w:val="007B2182"/>
    <w:rsid w:val="007E76D4"/>
    <w:rsid w:val="00883662"/>
    <w:rsid w:val="008D1C1A"/>
    <w:rsid w:val="008F4F05"/>
    <w:rsid w:val="008F6ABC"/>
    <w:rsid w:val="009032E1"/>
    <w:rsid w:val="009447CE"/>
    <w:rsid w:val="00962AC8"/>
    <w:rsid w:val="00A66045"/>
    <w:rsid w:val="00C654F8"/>
    <w:rsid w:val="00CB799B"/>
    <w:rsid w:val="00CC0108"/>
    <w:rsid w:val="00D20459"/>
    <w:rsid w:val="00D34D47"/>
    <w:rsid w:val="00D637F0"/>
    <w:rsid w:val="00D742EC"/>
    <w:rsid w:val="00E01D37"/>
    <w:rsid w:val="00E23CB4"/>
    <w:rsid w:val="00E91169"/>
    <w:rsid w:val="00EC26E1"/>
    <w:rsid w:val="00EE6C7F"/>
    <w:rsid w:val="00F57EFA"/>
    <w:rsid w:val="00F614C7"/>
    <w:rsid w:val="00FA0BC3"/>
    <w:rsid w:val="00FF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77B69"/>
  <w15:docId w15:val="{63FC44CA-ED30-4A60-8463-CB286DBB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012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B01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12F"/>
  </w:style>
  <w:style w:type="paragraph" w:styleId="Footer">
    <w:name w:val="footer"/>
    <w:basedOn w:val="Normal"/>
    <w:link w:val="FooterChar"/>
    <w:uiPriority w:val="99"/>
    <w:unhideWhenUsed/>
    <w:rsid w:val="000B01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12F"/>
  </w:style>
  <w:style w:type="character" w:customStyle="1" w:styleId="tgc">
    <w:name w:val="_tgc"/>
    <w:basedOn w:val="DefaultParagraphFont"/>
    <w:rsid w:val="00FF281B"/>
  </w:style>
  <w:style w:type="paragraph" w:styleId="BalloonText">
    <w:name w:val="Balloon Text"/>
    <w:basedOn w:val="Normal"/>
    <w:link w:val="BalloonTextChar"/>
    <w:uiPriority w:val="99"/>
    <w:semiHidden/>
    <w:unhideWhenUsed/>
    <w:rsid w:val="00664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A2F"/>
    <w:rPr>
      <w:rFonts w:ascii="Tahoma" w:hAnsi="Tahoma" w:cs="Tahoma"/>
      <w:sz w:val="16"/>
      <w:szCs w:val="16"/>
    </w:rPr>
  </w:style>
  <w:style w:type="paragraph" w:styleId="FootnoteText">
    <w:name w:val="footnote text"/>
    <w:basedOn w:val="Normal"/>
    <w:link w:val="FootnoteTextChar"/>
    <w:uiPriority w:val="99"/>
    <w:semiHidden/>
    <w:unhideWhenUsed/>
    <w:rsid w:val="00C654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54F8"/>
    <w:rPr>
      <w:sz w:val="20"/>
      <w:szCs w:val="20"/>
    </w:rPr>
  </w:style>
  <w:style w:type="character" w:styleId="FootnoteReference">
    <w:name w:val="footnote reference"/>
    <w:basedOn w:val="DefaultParagraphFont"/>
    <w:uiPriority w:val="99"/>
    <w:semiHidden/>
    <w:unhideWhenUsed/>
    <w:rsid w:val="00C654F8"/>
    <w:rPr>
      <w:vertAlign w:val="superscript"/>
    </w:rPr>
  </w:style>
  <w:style w:type="character" w:customStyle="1" w:styleId="normaltextrun">
    <w:name w:val="normaltextrun"/>
    <w:basedOn w:val="DefaultParagraphFont"/>
    <w:rsid w:val="00C654F8"/>
  </w:style>
  <w:style w:type="character" w:styleId="Hyperlink">
    <w:name w:val="Hyperlink"/>
    <w:basedOn w:val="DefaultParagraphFont"/>
    <w:uiPriority w:val="99"/>
    <w:unhideWhenUsed/>
    <w:rsid w:val="00C654F8"/>
    <w:rPr>
      <w:color w:val="0000FF" w:themeColor="hyperlink"/>
      <w:u w:val="single"/>
    </w:rPr>
  </w:style>
  <w:style w:type="character" w:styleId="PlaceholderText">
    <w:name w:val="Placeholder Text"/>
    <w:basedOn w:val="DefaultParagraphFont"/>
    <w:uiPriority w:val="99"/>
    <w:semiHidden/>
    <w:rsid w:val="005A68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75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jamanetwork.com/journals/jamanetworkopen/fullarticle/278942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56B0EE8-3073-4316-AD5F-B222314BF258}"/>
      </w:docPartPr>
      <w:docPartBody>
        <w:p w:rsidR="00000000" w:rsidRDefault="005501B7">
          <w:r w:rsidRPr="007712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1B7"/>
    <w:rsid w:val="00550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01B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CF70C-B8A7-4037-9B2D-0F75503F6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SmithBucklin</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testpc2</dc:creator>
  <cp:lastModifiedBy>Eskew, Kimberly</cp:lastModifiedBy>
  <cp:revision>2</cp:revision>
  <dcterms:created xsi:type="dcterms:W3CDTF">2022-07-21T15:53:00Z</dcterms:created>
  <dcterms:modified xsi:type="dcterms:W3CDTF">2022-07-21T15:53:00Z</dcterms:modified>
</cp:coreProperties>
</file>